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B51E62" w:rsidP="00B51E62">
      <w:pPr>
        <w:tabs>
          <w:tab w:val="left" w:pos="3555"/>
        </w:tabs>
        <w:spacing w:after="0" w:line="240" w:lineRule="auto"/>
        <w:jc w:val="cente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 </w:t>
      </w: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005909" w:rsidP="00DC1D4F">
      <w:pPr>
        <w:spacing w:after="0" w:line="360" w:lineRule="auto"/>
        <w:jc w:val="center"/>
        <w:rPr>
          <w:rFonts w:ascii="Times New Roman" w:eastAsia="Calibri" w:hAnsi="Times New Roman" w:cs="Times New Roman"/>
          <w:sz w:val="24"/>
          <w:szCs w:val="24"/>
        </w:rPr>
      </w:pPr>
      <w:r w:rsidRPr="001B130D">
        <w:rPr>
          <w:rFonts w:ascii="Times New Roman" w:eastAsia="Calibri" w:hAnsi="Times New Roman" w:cs="Times New Roman"/>
          <w:sz w:val="24"/>
          <w:szCs w:val="24"/>
        </w:rPr>
        <w:t xml:space="preserve">Marathon Oil Corporation  </w:t>
      </w:r>
      <w:r w:rsidR="00B51E62" w:rsidRPr="001B130D">
        <w:rPr>
          <w:rFonts w:ascii="Times New Roman" w:eastAsia="Calibri" w:hAnsi="Times New Roman" w:cs="Times New Roman"/>
          <w:sz w:val="24"/>
          <w:szCs w:val="24"/>
        </w:rPr>
        <w:t xml:space="preserve"> </w:t>
      </w:r>
    </w:p>
    <w:p w:rsidR="00B51E62" w:rsidRPr="001B130D" w:rsidRDefault="00B51E62" w:rsidP="00DC1D4F">
      <w:pPr>
        <w:spacing w:after="0" w:line="360" w:lineRule="auto"/>
        <w:jc w:val="center"/>
        <w:rPr>
          <w:rFonts w:ascii="Times New Roman" w:eastAsia="Calibri" w:hAnsi="Times New Roman" w:cs="Times New Roman"/>
          <w:sz w:val="24"/>
          <w:szCs w:val="24"/>
        </w:rPr>
      </w:pPr>
      <w:r w:rsidRPr="001B130D">
        <w:rPr>
          <w:rFonts w:ascii="Times New Roman" w:eastAsia="Calibri" w:hAnsi="Times New Roman" w:cs="Times New Roman"/>
          <w:sz w:val="24"/>
          <w:szCs w:val="24"/>
        </w:rPr>
        <w:t xml:space="preserve">Name of Student </w:t>
      </w:r>
    </w:p>
    <w:p w:rsidR="00DC1D4F" w:rsidRPr="001B130D" w:rsidRDefault="00005909" w:rsidP="00DC1D4F">
      <w:pPr>
        <w:spacing w:after="0" w:line="360" w:lineRule="auto"/>
        <w:jc w:val="center"/>
        <w:rPr>
          <w:rFonts w:ascii="Times New Roman" w:eastAsia="Calibri" w:hAnsi="Times New Roman" w:cs="Times New Roman"/>
          <w:sz w:val="24"/>
          <w:szCs w:val="24"/>
        </w:rPr>
      </w:pPr>
      <w:r w:rsidRPr="001B130D">
        <w:rPr>
          <w:rFonts w:ascii="Times New Roman" w:eastAsia="Calibri" w:hAnsi="Times New Roman" w:cs="Times New Roman"/>
          <w:sz w:val="24"/>
          <w:szCs w:val="24"/>
        </w:rPr>
        <w:t xml:space="preserve"> Course </w:t>
      </w:r>
    </w:p>
    <w:p w:rsidR="00DC1D4F" w:rsidRPr="001B130D" w:rsidRDefault="00B51E62" w:rsidP="00DC1D4F">
      <w:pPr>
        <w:spacing w:after="0" w:line="360" w:lineRule="auto"/>
        <w:jc w:val="center"/>
        <w:rPr>
          <w:rFonts w:ascii="Times New Roman" w:eastAsia="Calibri" w:hAnsi="Times New Roman" w:cs="Times New Roman"/>
          <w:sz w:val="24"/>
          <w:szCs w:val="24"/>
        </w:rPr>
      </w:pPr>
      <w:r w:rsidRPr="001B130D">
        <w:rPr>
          <w:rFonts w:ascii="Times New Roman" w:eastAsia="Calibri" w:hAnsi="Times New Roman" w:cs="Times New Roman"/>
          <w:sz w:val="24"/>
          <w:szCs w:val="24"/>
        </w:rPr>
        <w:t xml:space="preserve">Date: </w:t>
      </w: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DC1D4F" w:rsidRPr="001B130D" w:rsidRDefault="00DC1D4F" w:rsidP="00105BEB">
      <w:pPr>
        <w:spacing w:after="0" w:line="240" w:lineRule="auto"/>
        <w:rPr>
          <w:rFonts w:ascii="Times New Roman" w:eastAsia="Times New Roman" w:hAnsi="Times New Roman" w:cs="Times New Roman"/>
          <w:sz w:val="24"/>
          <w:szCs w:val="24"/>
        </w:rPr>
      </w:pPr>
    </w:p>
    <w:p w:rsidR="0023393E" w:rsidRPr="001B130D" w:rsidRDefault="00005909" w:rsidP="00F67C01">
      <w:pPr>
        <w:jc w:val="center"/>
        <w:rPr>
          <w:rFonts w:ascii="Times New Roman" w:eastAsia="Times New Roman" w:hAnsi="Times New Roman" w:cs="Times New Roman"/>
          <w:b/>
          <w:sz w:val="24"/>
          <w:szCs w:val="24"/>
        </w:rPr>
      </w:pPr>
      <w:r w:rsidRPr="001B130D">
        <w:rPr>
          <w:rFonts w:ascii="Times New Roman" w:eastAsia="Times New Roman" w:hAnsi="Times New Roman" w:cs="Times New Roman"/>
          <w:b/>
          <w:sz w:val="24"/>
          <w:szCs w:val="24"/>
        </w:rPr>
        <w:t xml:space="preserve">Marathon Oil Corporation   </w:t>
      </w:r>
    </w:p>
    <w:p w:rsidR="00A82BBC" w:rsidRPr="001B130D" w:rsidRDefault="00C52531" w:rsidP="00FD2FBD">
      <w:pPr>
        <w:rPr>
          <w:rFonts w:ascii="Times New Roman" w:eastAsia="Times New Roman" w:hAnsi="Times New Roman" w:cs="Times New Roman"/>
          <w:b/>
          <w:sz w:val="24"/>
          <w:szCs w:val="24"/>
        </w:rPr>
      </w:pPr>
      <w:r w:rsidRPr="001B130D">
        <w:rPr>
          <w:rFonts w:ascii="Times New Roman" w:eastAsia="Times New Roman" w:hAnsi="Times New Roman" w:cs="Times New Roman"/>
          <w:b/>
          <w:sz w:val="24"/>
          <w:szCs w:val="24"/>
        </w:rPr>
        <w:t xml:space="preserve">Introduction </w:t>
      </w:r>
    </w:p>
    <w:p w:rsidR="00005909" w:rsidRPr="001B130D" w:rsidRDefault="00C52531" w:rsidP="00FD2FBD">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A financial analysis refers to a process of </w:t>
      </w:r>
      <w:r w:rsidR="008C462E" w:rsidRPr="001B130D">
        <w:rPr>
          <w:rFonts w:ascii="Times New Roman" w:eastAsia="Times New Roman" w:hAnsi="Times New Roman" w:cs="Times New Roman"/>
          <w:sz w:val="24"/>
          <w:szCs w:val="24"/>
        </w:rPr>
        <w:t>assessing projects,</w:t>
      </w:r>
      <w:r w:rsidRPr="001B130D">
        <w:rPr>
          <w:rFonts w:ascii="Times New Roman" w:eastAsia="Times New Roman" w:hAnsi="Times New Roman" w:cs="Times New Roman"/>
          <w:sz w:val="24"/>
          <w:szCs w:val="24"/>
        </w:rPr>
        <w:t xml:space="preserve"> </w:t>
      </w:r>
      <w:r w:rsidR="008C462E" w:rsidRPr="001B130D">
        <w:rPr>
          <w:rFonts w:ascii="Times New Roman" w:eastAsia="Times New Roman" w:hAnsi="Times New Roman" w:cs="Times New Roman"/>
          <w:sz w:val="24"/>
          <w:szCs w:val="24"/>
        </w:rPr>
        <w:t xml:space="preserve">budgets, </w:t>
      </w:r>
      <w:r w:rsidRPr="001B130D">
        <w:rPr>
          <w:rFonts w:ascii="Times New Roman" w:eastAsia="Times New Roman" w:hAnsi="Times New Roman" w:cs="Times New Roman"/>
          <w:sz w:val="24"/>
          <w:szCs w:val="24"/>
        </w:rPr>
        <w:t>businesses</w:t>
      </w:r>
      <w:r w:rsidR="008C462E" w:rsidRPr="001B130D">
        <w:rPr>
          <w:rFonts w:ascii="Times New Roman" w:eastAsia="Times New Roman" w:hAnsi="Times New Roman" w:cs="Times New Roman"/>
          <w:sz w:val="24"/>
          <w:szCs w:val="24"/>
        </w:rPr>
        <w:t>, and</w:t>
      </w:r>
      <w:r w:rsidRPr="001B130D">
        <w:rPr>
          <w:rFonts w:ascii="Times New Roman" w:eastAsia="Times New Roman" w:hAnsi="Times New Roman" w:cs="Times New Roman"/>
          <w:sz w:val="24"/>
          <w:szCs w:val="24"/>
        </w:rPr>
        <w:t xml:space="preserve"> othe</w:t>
      </w:r>
      <w:r w:rsidR="008C462E" w:rsidRPr="001B130D">
        <w:rPr>
          <w:rFonts w:ascii="Times New Roman" w:eastAsia="Times New Roman" w:hAnsi="Times New Roman" w:cs="Times New Roman"/>
          <w:sz w:val="24"/>
          <w:szCs w:val="24"/>
        </w:rPr>
        <w:t xml:space="preserve">r finance-related transactions for purposes of </w:t>
      </w:r>
      <w:r w:rsidRPr="001B130D">
        <w:rPr>
          <w:rFonts w:ascii="Times New Roman" w:eastAsia="Times New Roman" w:hAnsi="Times New Roman" w:cs="Times New Roman"/>
          <w:sz w:val="24"/>
          <w:szCs w:val="24"/>
        </w:rPr>
        <w:t>determin</w:t>
      </w:r>
      <w:r w:rsidR="008C462E" w:rsidRPr="001B130D">
        <w:rPr>
          <w:rFonts w:ascii="Times New Roman" w:eastAsia="Times New Roman" w:hAnsi="Times New Roman" w:cs="Times New Roman"/>
          <w:sz w:val="24"/>
          <w:szCs w:val="24"/>
        </w:rPr>
        <w:t xml:space="preserve">ing </w:t>
      </w:r>
      <w:r w:rsidRPr="001B130D">
        <w:rPr>
          <w:rFonts w:ascii="Times New Roman" w:eastAsia="Times New Roman" w:hAnsi="Times New Roman" w:cs="Times New Roman"/>
          <w:sz w:val="24"/>
          <w:szCs w:val="24"/>
        </w:rPr>
        <w:t xml:space="preserve">their performance and </w:t>
      </w:r>
      <w:r w:rsidR="008C462E" w:rsidRPr="001B130D">
        <w:rPr>
          <w:rFonts w:ascii="Times New Roman" w:eastAsia="Times New Roman" w:hAnsi="Times New Roman" w:cs="Times New Roman"/>
          <w:sz w:val="24"/>
          <w:szCs w:val="24"/>
        </w:rPr>
        <w:t xml:space="preserve">consequent </w:t>
      </w:r>
      <w:r w:rsidRPr="001B130D">
        <w:rPr>
          <w:rFonts w:ascii="Times New Roman" w:eastAsia="Times New Roman" w:hAnsi="Times New Roman" w:cs="Times New Roman"/>
          <w:sz w:val="24"/>
          <w:szCs w:val="24"/>
        </w:rPr>
        <w:t xml:space="preserve">suitability. </w:t>
      </w:r>
      <w:r w:rsidR="008C462E" w:rsidRPr="001B130D">
        <w:rPr>
          <w:rFonts w:ascii="Times New Roman" w:eastAsia="Times New Roman" w:hAnsi="Times New Roman" w:cs="Times New Roman"/>
          <w:sz w:val="24"/>
          <w:szCs w:val="24"/>
        </w:rPr>
        <w:t>In a t</w:t>
      </w:r>
      <w:r w:rsidRPr="001B130D">
        <w:rPr>
          <w:rFonts w:ascii="Times New Roman" w:eastAsia="Times New Roman" w:hAnsi="Times New Roman" w:cs="Times New Roman"/>
          <w:sz w:val="24"/>
          <w:szCs w:val="24"/>
        </w:rPr>
        <w:t>ypical</w:t>
      </w:r>
      <w:r w:rsidR="008C462E" w:rsidRPr="001B130D">
        <w:rPr>
          <w:rFonts w:ascii="Times New Roman" w:eastAsia="Times New Roman" w:hAnsi="Times New Roman" w:cs="Times New Roman"/>
          <w:sz w:val="24"/>
          <w:szCs w:val="24"/>
        </w:rPr>
        <w:t xml:space="preserve"> occasion</w:t>
      </w:r>
      <w:r w:rsidRPr="001B130D">
        <w:rPr>
          <w:rFonts w:ascii="Times New Roman" w:eastAsia="Times New Roman" w:hAnsi="Times New Roman" w:cs="Times New Roman"/>
          <w:sz w:val="24"/>
          <w:szCs w:val="24"/>
        </w:rPr>
        <w:t xml:space="preserve">, </w:t>
      </w:r>
      <w:r w:rsidR="008C462E" w:rsidRPr="001B130D">
        <w:rPr>
          <w:rFonts w:ascii="Times New Roman" w:eastAsia="Times New Roman" w:hAnsi="Times New Roman" w:cs="Times New Roman"/>
          <w:sz w:val="24"/>
          <w:szCs w:val="24"/>
        </w:rPr>
        <w:t xml:space="preserve">a </w:t>
      </w:r>
      <w:r w:rsidRPr="001B130D">
        <w:rPr>
          <w:rFonts w:ascii="Times New Roman" w:eastAsia="Times New Roman" w:hAnsi="Times New Roman" w:cs="Times New Roman"/>
          <w:sz w:val="24"/>
          <w:szCs w:val="24"/>
        </w:rPr>
        <w:t xml:space="preserve">financial analysis is </w:t>
      </w:r>
      <w:r w:rsidR="008C462E" w:rsidRPr="001B130D">
        <w:rPr>
          <w:rFonts w:ascii="Times New Roman" w:eastAsia="Times New Roman" w:hAnsi="Times New Roman" w:cs="Times New Roman"/>
          <w:sz w:val="24"/>
          <w:szCs w:val="24"/>
        </w:rPr>
        <w:t xml:space="preserve">performed to find out </w:t>
      </w:r>
      <w:r w:rsidRPr="001B130D">
        <w:rPr>
          <w:rFonts w:ascii="Times New Roman" w:eastAsia="Times New Roman" w:hAnsi="Times New Roman" w:cs="Times New Roman"/>
          <w:sz w:val="24"/>
          <w:szCs w:val="24"/>
        </w:rPr>
        <w:t xml:space="preserve">whether an </w:t>
      </w:r>
      <w:r w:rsidR="008C462E" w:rsidRPr="001B130D">
        <w:rPr>
          <w:rFonts w:ascii="Times New Roman" w:eastAsia="Times New Roman" w:hAnsi="Times New Roman" w:cs="Times New Roman"/>
          <w:sz w:val="24"/>
          <w:szCs w:val="24"/>
        </w:rPr>
        <w:lastRenderedPageBreak/>
        <w:t>organization</w:t>
      </w:r>
      <w:r w:rsidRPr="001B130D">
        <w:rPr>
          <w:rFonts w:ascii="Times New Roman" w:eastAsia="Times New Roman" w:hAnsi="Times New Roman" w:cs="Times New Roman"/>
          <w:sz w:val="24"/>
          <w:szCs w:val="24"/>
        </w:rPr>
        <w:t xml:space="preserve"> is </w:t>
      </w:r>
      <w:r w:rsidR="008C462E" w:rsidRPr="001B130D">
        <w:rPr>
          <w:rFonts w:ascii="Times New Roman" w:eastAsia="Times New Roman" w:hAnsi="Times New Roman" w:cs="Times New Roman"/>
          <w:sz w:val="24"/>
          <w:szCs w:val="24"/>
        </w:rPr>
        <w:t xml:space="preserve">adequately solvent, liquid, </w:t>
      </w:r>
      <w:r w:rsidRPr="001B130D">
        <w:rPr>
          <w:rFonts w:ascii="Times New Roman" w:eastAsia="Times New Roman" w:hAnsi="Times New Roman" w:cs="Times New Roman"/>
          <w:sz w:val="24"/>
          <w:szCs w:val="24"/>
        </w:rPr>
        <w:t xml:space="preserve">stable, </w:t>
      </w:r>
      <w:r w:rsidR="008C462E" w:rsidRPr="001B130D">
        <w:rPr>
          <w:rFonts w:ascii="Times New Roman" w:eastAsia="Times New Roman" w:hAnsi="Times New Roman" w:cs="Times New Roman"/>
          <w:sz w:val="24"/>
          <w:szCs w:val="24"/>
        </w:rPr>
        <w:t xml:space="preserve">or </w:t>
      </w:r>
      <w:r w:rsidRPr="001B130D">
        <w:rPr>
          <w:rFonts w:ascii="Times New Roman" w:eastAsia="Times New Roman" w:hAnsi="Times New Roman" w:cs="Times New Roman"/>
          <w:sz w:val="24"/>
          <w:szCs w:val="24"/>
        </w:rPr>
        <w:t xml:space="preserve">profitable to </w:t>
      </w:r>
      <w:r w:rsidR="008C462E" w:rsidRPr="001B130D">
        <w:rPr>
          <w:rFonts w:ascii="Times New Roman" w:eastAsia="Times New Roman" w:hAnsi="Times New Roman" w:cs="Times New Roman"/>
          <w:sz w:val="24"/>
          <w:szCs w:val="24"/>
        </w:rPr>
        <w:t>merit</w:t>
      </w:r>
      <w:r w:rsidRPr="001B130D">
        <w:rPr>
          <w:rFonts w:ascii="Times New Roman" w:eastAsia="Times New Roman" w:hAnsi="Times New Roman" w:cs="Times New Roman"/>
          <w:sz w:val="24"/>
          <w:szCs w:val="24"/>
        </w:rPr>
        <w:t xml:space="preserve"> a monetary investment</w:t>
      </w:r>
      <w:r w:rsidR="008C462E" w:rsidRPr="001B130D">
        <w:rPr>
          <w:rFonts w:ascii="Times New Roman" w:eastAsia="Times New Roman" w:hAnsi="Times New Roman" w:cs="Times New Roman"/>
          <w:sz w:val="24"/>
          <w:szCs w:val="24"/>
        </w:rPr>
        <w:t xml:space="preserve"> (</w:t>
      </w:r>
      <w:r w:rsidR="00D63DE6" w:rsidRPr="001B130D">
        <w:rPr>
          <w:rFonts w:ascii="Times New Roman" w:eastAsia="Times New Roman" w:hAnsi="Times New Roman" w:cs="Times New Roman"/>
          <w:sz w:val="24"/>
          <w:szCs w:val="24"/>
        </w:rPr>
        <w:t>Zeller et al, 2019</w:t>
      </w:r>
      <w:r w:rsidR="008C462E" w:rsidRPr="001B130D">
        <w:rPr>
          <w:rFonts w:ascii="Times New Roman" w:eastAsia="Times New Roman" w:hAnsi="Times New Roman" w:cs="Times New Roman"/>
          <w:sz w:val="24"/>
          <w:szCs w:val="24"/>
        </w:rPr>
        <w:t>).</w:t>
      </w:r>
    </w:p>
    <w:p w:rsidR="006A3401" w:rsidRPr="001B130D" w:rsidRDefault="008176A3" w:rsidP="00FD2FBD">
      <w:pPr>
        <w:rPr>
          <w:rFonts w:ascii="Times New Roman" w:eastAsia="Times New Roman" w:hAnsi="Times New Roman" w:cs="Times New Roman"/>
          <w:b/>
          <w:sz w:val="24"/>
          <w:szCs w:val="24"/>
        </w:rPr>
      </w:pPr>
      <w:r w:rsidRPr="001B130D">
        <w:rPr>
          <w:rFonts w:ascii="Times New Roman" w:eastAsia="Times New Roman" w:hAnsi="Times New Roman" w:cs="Times New Roman"/>
          <w:b/>
          <w:sz w:val="24"/>
          <w:szCs w:val="24"/>
        </w:rPr>
        <w:t>Horizontal Analysis</w:t>
      </w:r>
    </w:p>
    <w:p w:rsidR="00176680" w:rsidRPr="001B130D" w:rsidRDefault="001F312F" w:rsidP="00FD2FBD">
      <w:pPr>
        <w:rPr>
          <w:rFonts w:ascii="Times New Roman" w:eastAsia="Times New Roman" w:hAnsi="Times New Roman" w:cs="Times New Roman"/>
          <w:b/>
          <w:sz w:val="24"/>
          <w:szCs w:val="24"/>
        </w:rPr>
      </w:pPr>
      <w:r w:rsidRPr="001B130D">
        <w:rPr>
          <w:rFonts w:ascii="Times New Roman" w:eastAsia="Times New Roman" w:hAnsi="Times New Roman" w:cs="Times New Roman"/>
          <w:b/>
          <w:sz w:val="24"/>
          <w:szCs w:val="24"/>
        </w:rPr>
        <w:t>Table 1: Marathon Oil Corporation Horizontal analysis</w:t>
      </w:r>
    </w:p>
    <w:p w:rsidR="00005909" w:rsidRPr="001B130D" w:rsidRDefault="006A3401" w:rsidP="006A3401">
      <w:pPr>
        <w:rPr>
          <w:rFonts w:ascii="Times New Roman" w:eastAsia="Times New Roman" w:hAnsi="Times New Roman" w:cs="Times New Roman"/>
          <w:sz w:val="24"/>
          <w:szCs w:val="24"/>
        </w:rPr>
      </w:pPr>
      <w:r w:rsidRPr="001B130D">
        <w:rPr>
          <w:rFonts w:ascii="Times New Roman" w:hAnsi="Times New Roman" w:cs="Times New Roman"/>
          <w:noProof/>
          <w:sz w:val="24"/>
          <w:szCs w:val="24"/>
        </w:rPr>
        <w:drawing>
          <wp:inline distT="0" distB="0" distL="0" distR="0">
            <wp:extent cx="6657975" cy="5139974"/>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57975" cy="5139974"/>
                    </a:xfrm>
                    <a:prstGeom prst="rect">
                      <a:avLst/>
                    </a:prstGeom>
                    <a:noFill/>
                    <a:ln>
                      <a:noFill/>
                    </a:ln>
                  </pic:spPr>
                </pic:pic>
              </a:graphicData>
            </a:graphic>
          </wp:inline>
        </w:drawing>
      </w:r>
    </w:p>
    <w:p w:rsidR="00005909" w:rsidRPr="001B130D" w:rsidRDefault="006A3401" w:rsidP="00F05846">
      <w:pPr>
        <w:rPr>
          <w:rFonts w:ascii="Times New Roman" w:eastAsia="Times New Roman" w:hAnsi="Times New Roman" w:cs="Times New Roman"/>
          <w:sz w:val="24"/>
          <w:szCs w:val="24"/>
        </w:rPr>
      </w:pPr>
      <w:r w:rsidRPr="001B130D">
        <w:rPr>
          <w:rFonts w:ascii="Times New Roman" w:hAnsi="Times New Roman" w:cs="Times New Roman"/>
          <w:sz w:val="24"/>
          <w:szCs w:val="24"/>
        </w:rPr>
        <w:t xml:space="preserve">The </w:t>
      </w:r>
      <w:r w:rsidR="00F05846" w:rsidRPr="001B130D">
        <w:rPr>
          <w:rFonts w:ascii="Times New Roman" w:hAnsi="Times New Roman" w:cs="Times New Roman"/>
          <w:sz w:val="24"/>
          <w:szCs w:val="24"/>
        </w:rPr>
        <w:t>horizontal analysis</w:t>
      </w:r>
      <w:r w:rsidRPr="001B130D">
        <w:rPr>
          <w:rFonts w:ascii="Times New Roman" w:hAnsi="Times New Roman" w:cs="Times New Roman"/>
          <w:sz w:val="24"/>
          <w:szCs w:val="24"/>
        </w:rPr>
        <w:t xml:space="preserve"> </w:t>
      </w:r>
      <w:r w:rsidR="00F05846" w:rsidRPr="001B130D">
        <w:rPr>
          <w:rFonts w:ascii="Times New Roman" w:hAnsi="Times New Roman" w:cs="Times New Roman"/>
          <w:sz w:val="24"/>
          <w:szCs w:val="24"/>
        </w:rPr>
        <w:t xml:space="preserve">above measures the line of items on the financial statements with the base year (2017) for purposes of finding major divergent items or unexpected outcomes.  The findings show that year 2020 performance had deteriorated significantly compared to the base year. </w:t>
      </w:r>
      <w:r w:rsidR="00E04B12" w:rsidRPr="001B130D">
        <w:rPr>
          <w:rFonts w:ascii="Times New Roman" w:hAnsi="Times New Roman" w:cs="Times New Roman"/>
          <w:sz w:val="24"/>
          <w:szCs w:val="24"/>
        </w:rPr>
        <w:t xml:space="preserve">Financial </w:t>
      </w:r>
      <w:r w:rsidR="00F05846" w:rsidRPr="001B130D">
        <w:rPr>
          <w:rFonts w:ascii="Times New Roman" w:hAnsi="Times New Roman" w:cs="Times New Roman"/>
          <w:sz w:val="24"/>
          <w:szCs w:val="24"/>
        </w:rPr>
        <w:t>performances before</w:t>
      </w:r>
      <w:r w:rsidR="00E04B12" w:rsidRPr="001B130D">
        <w:rPr>
          <w:rFonts w:ascii="Times New Roman" w:hAnsi="Times New Roman" w:cs="Times New Roman"/>
          <w:sz w:val="24"/>
          <w:szCs w:val="24"/>
        </w:rPr>
        <w:t xml:space="preserve"> financial</w:t>
      </w:r>
      <w:r w:rsidR="00F05846" w:rsidRPr="001B130D">
        <w:rPr>
          <w:rFonts w:ascii="Times New Roman" w:hAnsi="Times New Roman" w:cs="Times New Roman"/>
          <w:sz w:val="24"/>
          <w:szCs w:val="24"/>
        </w:rPr>
        <w:t xml:space="preserve"> year 2020 (pandemic year)</w:t>
      </w:r>
      <w:r w:rsidR="00E04B12" w:rsidRPr="001B130D">
        <w:rPr>
          <w:rFonts w:ascii="Times New Roman" w:hAnsi="Times New Roman" w:cs="Times New Roman"/>
          <w:sz w:val="24"/>
          <w:szCs w:val="24"/>
        </w:rPr>
        <w:t>,</w:t>
      </w:r>
      <w:r w:rsidR="00F05846" w:rsidRPr="001B130D">
        <w:rPr>
          <w:rFonts w:ascii="Times New Roman" w:hAnsi="Times New Roman" w:cs="Times New Roman"/>
          <w:sz w:val="24"/>
          <w:szCs w:val="24"/>
        </w:rPr>
        <w:t xml:space="preserve"> </w:t>
      </w:r>
      <w:r w:rsidR="00E04B12" w:rsidRPr="001B130D">
        <w:rPr>
          <w:rFonts w:ascii="Times New Roman" w:hAnsi="Times New Roman" w:cs="Times New Roman"/>
          <w:sz w:val="24"/>
          <w:szCs w:val="24"/>
        </w:rPr>
        <w:t>shows a</w:t>
      </w:r>
      <w:r w:rsidR="00F05846" w:rsidRPr="001B130D">
        <w:rPr>
          <w:rFonts w:ascii="Times New Roman" w:hAnsi="Times New Roman" w:cs="Times New Roman"/>
          <w:sz w:val="24"/>
          <w:szCs w:val="24"/>
        </w:rPr>
        <w:t xml:space="preserve"> steady improvement in nearly all</w:t>
      </w:r>
      <w:r w:rsidR="00E04B12" w:rsidRPr="001B130D">
        <w:rPr>
          <w:rFonts w:ascii="Times New Roman" w:hAnsi="Times New Roman" w:cs="Times New Roman"/>
          <w:sz w:val="24"/>
          <w:szCs w:val="24"/>
        </w:rPr>
        <w:t xml:space="preserve"> items on the</w:t>
      </w:r>
      <w:r w:rsidR="00F05846" w:rsidRPr="001B130D">
        <w:rPr>
          <w:rFonts w:ascii="Times New Roman" w:hAnsi="Times New Roman" w:cs="Times New Roman"/>
          <w:sz w:val="24"/>
          <w:szCs w:val="24"/>
        </w:rPr>
        <w:t xml:space="preserve"> financial statement. </w:t>
      </w:r>
    </w:p>
    <w:p w:rsidR="00005909" w:rsidRPr="001B130D" w:rsidRDefault="00E04B12" w:rsidP="00FD2FBD">
      <w:pPr>
        <w:rPr>
          <w:rFonts w:ascii="Times New Roman" w:eastAsia="Times New Roman" w:hAnsi="Times New Roman" w:cs="Times New Roman"/>
          <w:b/>
          <w:sz w:val="24"/>
          <w:szCs w:val="24"/>
        </w:rPr>
      </w:pPr>
      <w:r w:rsidRPr="001B130D">
        <w:rPr>
          <w:rFonts w:ascii="Times New Roman" w:eastAsia="Times New Roman" w:hAnsi="Times New Roman" w:cs="Times New Roman"/>
          <w:b/>
          <w:sz w:val="24"/>
          <w:szCs w:val="24"/>
        </w:rPr>
        <w:t xml:space="preserve">Vertical analysis </w:t>
      </w:r>
    </w:p>
    <w:p w:rsidR="00176680" w:rsidRPr="001B130D" w:rsidRDefault="001F312F" w:rsidP="00FD2FBD">
      <w:pPr>
        <w:rPr>
          <w:rFonts w:ascii="Times New Roman" w:eastAsia="Times New Roman" w:hAnsi="Times New Roman" w:cs="Times New Roman"/>
          <w:b/>
          <w:sz w:val="24"/>
          <w:szCs w:val="24"/>
        </w:rPr>
      </w:pPr>
      <w:r w:rsidRPr="001B130D">
        <w:rPr>
          <w:rFonts w:ascii="Times New Roman" w:eastAsia="Times New Roman" w:hAnsi="Times New Roman" w:cs="Times New Roman"/>
          <w:b/>
          <w:sz w:val="24"/>
          <w:szCs w:val="24"/>
        </w:rPr>
        <w:t>Table 2</w:t>
      </w:r>
      <w:r w:rsidR="00176680" w:rsidRPr="001B130D">
        <w:rPr>
          <w:rFonts w:ascii="Times New Roman" w:eastAsia="Times New Roman" w:hAnsi="Times New Roman" w:cs="Times New Roman"/>
          <w:b/>
          <w:sz w:val="24"/>
          <w:szCs w:val="24"/>
        </w:rPr>
        <w:t xml:space="preserve">: </w:t>
      </w:r>
      <w:r w:rsidRPr="001B130D">
        <w:rPr>
          <w:rFonts w:ascii="Times New Roman" w:eastAsia="Times New Roman" w:hAnsi="Times New Roman" w:cs="Times New Roman"/>
          <w:b/>
          <w:sz w:val="24"/>
          <w:szCs w:val="24"/>
        </w:rPr>
        <w:t>Marathon Oil Corporation Vertical analysis</w:t>
      </w:r>
    </w:p>
    <w:tbl>
      <w:tblPr>
        <w:tblW w:w="9915" w:type="dxa"/>
        <w:tblInd w:w="93" w:type="dxa"/>
        <w:tblLook w:val="04A0"/>
      </w:tblPr>
      <w:tblGrid>
        <w:gridCol w:w="3594"/>
        <w:gridCol w:w="1577"/>
        <w:gridCol w:w="1176"/>
        <w:gridCol w:w="1176"/>
        <w:gridCol w:w="1176"/>
        <w:gridCol w:w="1510"/>
      </w:tblGrid>
      <w:tr w:rsidR="009A7DD2" w:rsidRPr="001B130D" w:rsidTr="009A7DD2">
        <w:trPr>
          <w:trHeight w:val="420"/>
        </w:trPr>
        <w:tc>
          <w:tcPr>
            <w:tcW w:w="35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lastRenderedPageBreak/>
              <w:t>All numbers in thousands</w:t>
            </w:r>
          </w:p>
        </w:tc>
        <w:tc>
          <w:tcPr>
            <w:tcW w:w="1577" w:type="dxa"/>
            <w:tcBorders>
              <w:top w:val="single" w:sz="4" w:space="0" w:color="auto"/>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Estimated  </w:t>
            </w:r>
          </w:p>
        </w:tc>
        <w:tc>
          <w:tcPr>
            <w:tcW w:w="1078" w:type="dxa"/>
            <w:tcBorders>
              <w:top w:val="single" w:sz="4" w:space="0" w:color="auto"/>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2020</w:t>
            </w:r>
          </w:p>
        </w:tc>
        <w:tc>
          <w:tcPr>
            <w:tcW w:w="1078" w:type="dxa"/>
            <w:tcBorders>
              <w:top w:val="single" w:sz="4" w:space="0" w:color="auto"/>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2019</w:t>
            </w:r>
          </w:p>
        </w:tc>
        <w:tc>
          <w:tcPr>
            <w:tcW w:w="1078" w:type="dxa"/>
            <w:tcBorders>
              <w:top w:val="single" w:sz="4" w:space="0" w:color="auto"/>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2018</w:t>
            </w:r>
          </w:p>
        </w:tc>
        <w:tc>
          <w:tcPr>
            <w:tcW w:w="1510" w:type="dxa"/>
            <w:tcBorders>
              <w:top w:val="single" w:sz="4" w:space="0" w:color="auto"/>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2017</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Total Revenue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4,014,000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3,097,000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5,063,000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5,902,000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4,373,000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Cost of Revenue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3,282,000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3,467,000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3,714,000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3,858,000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3,677,000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82</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112</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73</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65</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84</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Gross Profit</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732,000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-370,000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1,349,000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2,044,000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696,000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22</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-11</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36</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53</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19</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Operating Expense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692,000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655,000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816,000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982,000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992,000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17</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21</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16</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17</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23</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Operating Income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-1,025,000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533,000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1,062,000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-296,000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-33</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11</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18</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-7</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Net Non Operating Interest Income Expense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-213,000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-274,000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-255,000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-248,000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-343,000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-5</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-9</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-5</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-4</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-8</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Other Income Expense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-345,000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-166,000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613,000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185,000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-9</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-5</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2</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4</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Pretax Income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-518,000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-1,465,000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392,000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1,427,000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-454,000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-13</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-47</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8</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24</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Tax Provision</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-88,000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331,000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376,000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Net Income Common Stockholders</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-542,000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-1,451,000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480,000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1,096,000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-5,723,000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-14</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-47</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9</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19</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-131</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Diluted NI Available to Com Stockholders</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-542,000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-1,451,000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480,000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1,096,000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-5,723,000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Basic EPS</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-1.84</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0.6</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1.34</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-6.73</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Diluted EPS</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-1.84</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0.5</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-6.73</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Basic Average Shares</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789,000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796,000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819,000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850,000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Diluted Average Shares</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792,000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810,000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847,000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850,000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Total Operating Income as Reported</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-270,000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-1,180,000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636,000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1,667,000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-133,000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-7</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-38</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13</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28</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b/>
                <w:color w:val="000000"/>
                <w:sz w:val="24"/>
                <w:szCs w:val="24"/>
              </w:rPr>
            </w:pPr>
            <w:r w:rsidRPr="001B130D">
              <w:rPr>
                <w:rFonts w:ascii="Times New Roman" w:eastAsia="Times New Roman" w:hAnsi="Times New Roman" w:cs="Times New Roman"/>
                <w:b/>
                <w:color w:val="000000"/>
                <w:sz w:val="24"/>
                <w:szCs w:val="24"/>
              </w:rPr>
              <w:t>-3</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Total Expenses</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3,974,000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4,122,000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4,530,000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4,840,000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4,669,000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99</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133</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89</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82</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107</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Interest Income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32,000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34,000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Interest Expense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279,000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280,000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280,000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377,000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Net Interest Income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-213,000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-274,000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-255,000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-248,000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-343,000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Net Income from Continuing &amp; Discontinued Operation</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-542,000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-1,451,000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480,000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1,096,000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-5,723,000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Normalized Income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-265,400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w:t>
            </w:r>
            <w:r w:rsidRPr="001B130D">
              <w:rPr>
                <w:rFonts w:ascii="Times New Roman" w:eastAsia="Times New Roman" w:hAnsi="Times New Roman" w:cs="Times New Roman"/>
                <w:color w:val="000000"/>
                <w:sz w:val="24"/>
                <w:szCs w:val="24"/>
              </w:rPr>
              <w:lastRenderedPageBreak/>
              <w:t>1,416,350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lastRenderedPageBreak/>
              <w:t>512,850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911,970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-733,400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lastRenderedPageBreak/>
              <w:t>EBIT</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-121,000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-1,186,000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672,000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1,707,000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-77,000</w:t>
            </w:r>
          </w:p>
        </w:tc>
      </w:tr>
      <w:tr w:rsidR="009A7DD2" w:rsidRPr="001B130D"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-38</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29</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1B130D" w:rsidRDefault="009A7DD2" w:rsidP="009A7DD2">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w:t>
            </w:r>
          </w:p>
        </w:tc>
      </w:tr>
    </w:tbl>
    <w:p w:rsidR="00005909" w:rsidRPr="001B130D" w:rsidRDefault="00005909" w:rsidP="00FD2FBD">
      <w:pPr>
        <w:rPr>
          <w:rFonts w:ascii="Times New Roman" w:eastAsia="Times New Roman" w:hAnsi="Times New Roman" w:cs="Times New Roman"/>
          <w:sz w:val="24"/>
          <w:szCs w:val="24"/>
        </w:rPr>
      </w:pPr>
    </w:p>
    <w:p w:rsidR="00005909" w:rsidRPr="001B130D" w:rsidRDefault="009A7DD2" w:rsidP="00FD2FBD">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Cost of Revenue increased in FY due to challenges of supply chain caused by the pandemic and generally, the performance was same for most other items in the financial statement. Cost of Revenue has been increasing for FYs 2018, 2019, and 2020 due to challenges of the oil industry where there was low demand and the industry could not scale down fixed costs in the production process. This is also reflected in the decline in gross profits.  The operating expenses remained steady at about 20% over 2018-2020 which shows inability of the company to reduce operating expenses even as the revenues and gross profits was on the decline.</w:t>
      </w:r>
      <w:r w:rsidR="000165D4" w:rsidRPr="001B130D">
        <w:rPr>
          <w:rFonts w:ascii="Times New Roman" w:eastAsia="Times New Roman" w:hAnsi="Times New Roman" w:cs="Times New Roman"/>
          <w:sz w:val="24"/>
          <w:szCs w:val="24"/>
        </w:rPr>
        <w:t xml:space="preserve"> There was a significant deterioration of performance in FY</w:t>
      </w:r>
      <w:r w:rsidRPr="001B130D">
        <w:rPr>
          <w:rFonts w:ascii="Times New Roman" w:eastAsia="Times New Roman" w:hAnsi="Times New Roman" w:cs="Times New Roman"/>
          <w:sz w:val="24"/>
          <w:szCs w:val="24"/>
        </w:rPr>
        <w:t xml:space="preserve"> </w:t>
      </w:r>
      <w:r w:rsidR="000165D4" w:rsidRPr="001B130D">
        <w:rPr>
          <w:rFonts w:ascii="Times New Roman" w:eastAsia="Times New Roman" w:hAnsi="Times New Roman" w:cs="Times New Roman"/>
          <w:sz w:val="24"/>
          <w:szCs w:val="24"/>
        </w:rPr>
        <w:t xml:space="preserve">2019 (gross profits, operating income) because of the low prices in the global market @ $56.99 per barrel compared to $65.23 in 2018. Basically, the fluctuations in financial performance echo the prices of oil in the market. </w:t>
      </w:r>
    </w:p>
    <w:p w:rsidR="00005909" w:rsidRPr="001B130D" w:rsidRDefault="00B25C18" w:rsidP="00FD2FBD">
      <w:pPr>
        <w:rPr>
          <w:rFonts w:ascii="Times New Roman" w:eastAsia="Times New Roman" w:hAnsi="Times New Roman" w:cs="Times New Roman"/>
          <w:b/>
          <w:sz w:val="24"/>
          <w:szCs w:val="24"/>
        </w:rPr>
      </w:pPr>
      <w:r w:rsidRPr="001B130D">
        <w:rPr>
          <w:rFonts w:ascii="Times New Roman" w:eastAsia="Times New Roman" w:hAnsi="Times New Roman" w:cs="Times New Roman"/>
          <w:b/>
          <w:sz w:val="24"/>
          <w:szCs w:val="24"/>
        </w:rPr>
        <w:t>Trend Analysis</w:t>
      </w:r>
    </w:p>
    <w:p w:rsidR="000165D4" w:rsidRPr="001B130D" w:rsidRDefault="00176680" w:rsidP="00FD2FBD">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This trend analysis</w:t>
      </w:r>
      <w:r w:rsidR="00B25C18" w:rsidRPr="001B130D">
        <w:rPr>
          <w:rFonts w:ascii="Times New Roman" w:eastAsia="Times New Roman" w:hAnsi="Times New Roman" w:cs="Times New Roman"/>
          <w:sz w:val="24"/>
          <w:szCs w:val="24"/>
        </w:rPr>
        <w:t xml:space="preserve"> shows revenues and net income </w:t>
      </w:r>
      <w:r w:rsidRPr="001B130D">
        <w:rPr>
          <w:rFonts w:ascii="Times New Roman" w:eastAsia="Times New Roman" w:hAnsi="Times New Roman" w:cs="Times New Roman"/>
          <w:sz w:val="24"/>
          <w:szCs w:val="24"/>
        </w:rPr>
        <w:t>for Marathon</w:t>
      </w:r>
      <w:r w:rsidR="00B25C18" w:rsidRPr="001B130D">
        <w:rPr>
          <w:rFonts w:ascii="Times New Roman" w:eastAsia="Times New Roman" w:hAnsi="Times New Roman" w:cs="Times New Roman"/>
          <w:sz w:val="24"/>
          <w:szCs w:val="24"/>
        </w:rPr>
        <w:t xml:space="preserve"> Oil Corporation over selected period. </w:t>
      </w:r>
      <w:r w:rsidRPr="001B130D">
        <w:rPr>
          <w:rFonts w:ascii="Times New Roman" w:eastAsia="Times New Roman" w:hAnsi="Times New Roman" w:cs="Times New Roman"/>
          <w:sz w:val="24"/>
          <w:szCs w:val="24"/>
        </w:rPr>
        <w:t xml:space="preserve"> </w:t>
      </w:r>
      <w:r w:rsidR="001F312F" w:rsidRPr="001B130D">
        <w:rPr>
          <w:rFonts w:ascii="Times New Roman" w:eastAsia="Times New Roman" w:hAnsi="Times New Roman" w:cs="Times New Roman"/>
          <w:sz w:val="24"/>
          <w:szCs w:val="24"/>
        </w:rPr>
        <w:t xml:space="preserve">The graph below shows a steady rise in revenue, gross profits, and net income up to 2018 and then took a steep downward move to 2020.  This can be attributed to the downward prices in the world market due to reduced demand. This coincides with the US-China trade tensions which caused instability and slowdown in the global economy. </w:t>
      </w:r>
    </w:p>
    <w:p w:rsidR="00176680" w:rsidRPr="001B130D" w:rsidRDefault="00176680" w:rsidP="00FD2FBD">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Graph </w:t>
      </w:r>
      <w:r w:rsidR="001F312F" w:rsidRPr="001B130D">
        <w:rPr>
          <w:rFonts w:ascii="Times New Roman" w:eastAsia="Times New Roman" w:hAnsi="Times New Roman" w:cs="Times New Roman"/>
          <w:sz w:val="24"/>
          <w:szCs w:val="24"/>
        </w:rPr>
        <w:t xml:space="preserve">1: Marathon Oil Corporation assorted performance </w:t>
      </w:r>
    </w:p>
    <w:p w:rsidR="000165D4" w:rsidRPr="001B130D" w:rsidRDefault="00176680" w:rsidP="00FD2FBD">
      <w:pPr>
        <w:rPr>
          <w:rFonts w:ascii="Times New Roman" w:eastAsia="Times New Roman" w:hAnsi="Times New Roman" w:cs="Times New Roman"/>
          <w:sz w:val="24"/>
          <w:szCs w:val="24"/>
        </w:rPr>
      </w:pPr>
      <w:r w:rsidRPr="001B130D">
        <w:rPr>
          <w:rFonts w:ascii="Times New Roman" w:hAnsi="Times New Roman" w:cs="Times New Roman"/>
          <w:noProof/>
          <w:sz w:val="24"/>
          <w:szCs w:val="24"/>
        </w:rPr>
        <w:lastRenderedPageBreak/>
        <w:drawing>
          <wp:inline distT="0" distB="0" distL="0" distR="0">
            <wp:extent cx="5495925" cy="3476626"/>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0165D4" w:rsidRPr="001B130D" w:rsidRDefault="000165D4" w:rsidP="00FD2FBD">
      <w:pPr>
        <w:rPr>
          <w:rFonts w:ascii="Times New Roman" w:eastAsia="Times New Roman" w:hAnsi="Times New Roman" w:cs="Times New Roman"/>
          <w:sz w:val="24"/>
          <w:szCs w:val="24"/>
        </w:rPr>
      </w:pPr>
    </w:p>
    <w:p w:rsidR="001F312F" w:rsidRPr="001B130D" w:rsidRDefault="00B76538" w:rsidP="00FD2FBD">
      <w:pPr>
        <w:rPr>
          <w:rFonts w:ascii="Times New Roman" w:eastAsia="Times New Roman" w:hAnsi="Times New Roman" w:cs="Times New Roman"/>
          <w:b/>
          <w:sz w:val="24"/>
          <w:szCs w:val="24"/>
        </w:rPr>
      </w:pPr>
      <w:r w:rsidRPr="001B130D">
        <w:rPr>
          <w:rFonts w:ascii="Times New Roman" w:eastAsia="Times New Roman" w:hAnsi="Times New Roman" w:cs="Times New Roman"/>
          <w:b/>
          <w:sz w:val="24"/>
          <w:szCs w:val="24"/>
        </w:rPr>
        <w:t xml:space="preserve">Financial ratios </w:t>
      </w:r>
    </w:p>
    <w:p w:rsidR="00B76538" w:rsidRPr="001B130D" w:rsidRDefault="00B64A7D" w:rsidP="00FD2FBD">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The financial ratios helps to determine whether an organization is adequately solvent, liquid, stable, or profitable (</w:t>
      </w:r>
      <w:r w:rsidR="00D63DE6" w:rsidRPr="001B130D">
        <w:rPr>
          <w:rFonts w:ascii="Times New Roman" w:eastAsia="Times New Roman" w:hAnsi="Times New Roman" w:cs="Times New Roman"/>
          <w:sz w:val="24"/>
          <w:szCs w:val="24"/>
        </w:rPr>
        <w:t>Zeller et al, 2019</w:t>
      </w:r>
      <w:r w:rsidRPr="001B130D">
        <w:rPr>
          <w:rFonts w:ascii="Times New Roman" w:eastAsia="Times New Roman" w:hAnsi="Times New Roman" w:cs="Times New Roman"/>
          <w:sz w:val="24"/>
          <w:szCs w:val="24"/>
        </w:rPr>
        <w:t xml:space="preserve">). </w:t>
      </w:r>
      <w:r w:rsidR="0003377C" w:rsidRPr="001B130D">
        <w:rPr>
          <w:rFonts w:ascii="Times New Roman" w:eastAsia="Times New Roman" w:hAnsi="Times New Roman" w:cs="Times New Roman"/>
          <w:sz w:val="24"/>
          <w:szCs w:val="24"/>
        </w:rPr>
        <w:t xml:space="preserve">Table 2 below captures assorted ratios for Marathon Oil Corporation. </w:t>
      </w:r>
    </w:p>
    <w:p w:rsidR="0003377C" w:rsidRPr="001B130D" w:rsidRDefault="0003377C" w:rsidP="00FD2FBD">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Table 3: Assorted financial ratios  </w:t>
      </w:r>
    </w:p>
    <w:tbl>
      <w:tblPr>
        <w:tblW w:w="7700" w:type="dxa"/>
        <w:tblInd w:w="93" w:type="dxa"/>
        <w:tblLook w:val="04A0"/>
      </w:tblPr>
      <w:tblGrid>
        <w:gridCol w:w="1940"/>
        <w:gridCol w:w="960"/>
        <w:gridCol w:w="960"/>
        <w:gridCol w:w="960"/>
        <w:gridCol w:w="1076"/>
        <w:gridCol w:w="960"/>
        <w:gridCol w:w="960"/>
      </w:tblGrid>
      <w:tr w:rsidR="00B64A7D" w:rsidRPr="001B130D" w:rsidTr="00B64A7D">
        <w:trPr>
          <w:trHeight w:val="300"/>
        </w:trPr>
        <w:tc>
          <w:tcPr>
            <w:tcW w:w="2900" w:type="dxa"/>
            <w:gridSpan w:val="2"/>
            <w:tcBorders>
              <w:top w:val="nil"/>
              <w:left w:val="nil"/>
              <w:bottom w:val="nil"/>
              <w:right w:val="nil"/>
            </w:tcBorders>
            <w:shd w:val="clear" w:color="auto" w:fill="auto"/>
            <w:noWrap/>
            <w:vAlign w:val="bottom"/>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In million apart from ratios </w:t>
            </w:r>
          </w:p>
        </w:tc>
        <w:tc>
          <w:tcPr>
            <w:tcW w:w="960" w:type="dxa"/>
            <w:tcBorders>
              <w:top w:val="nil"/>
              <w:left w:val="nil"/>
              <w:bottom w:val="nil"/>
              <w:right w:val="nil"/>
            </w:tcBorders>
            <w:shd w:val="clear" w:color="auto" w:fill="auto"/>
            <w:noWrap/>
            <w:vAlign w:val="bottom"/>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p>
        </w:tc>
        <w:tc>
          <w:tcPr>
            <w:tcW w:w="960" w:type="dxa"/>
            <w:tcBorders>
              <w:top w:val="nil"/>
              <w:left w:val="nil"/>
              <w:bottom w:val="nil"/>
              <w:right w:val="nil"/>
            </w:tcBorders>
            <w:shd w:val="clear" w:color="auto" w:fill="auto"/>
            <w:noWrap/>
            <w:vAlign w:val="bottom"/>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p>
        </w:tc>
      </w:tr>
      <w:tr w:rsidR="00B64A7D" w:rsidRPr="001B130D" w:rsidTr="00B64A7D">
        <w:trPr>
          <w:trHeight w:val="330"/>
        </w:trPr>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Year</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2020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2019</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2018</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2017</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2016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2015</w:t>
            </w:r>
          </w:p>
        </w:tc>
      </w:tr>
      <w:tr w:rsidR="00B64A7D" w:rsidRPr="001B130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 xml:space="preserve">Market Capitalization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5,265</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10,863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11,920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14,385</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14,665</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8,527</w:t>
            </w:r>
          </w:p>
        </w:tc>
      </w:tr>
      <w:tr w:rsidR="00B64A7D" w:rsidRPr="001B130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Market Cap Growth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-51.53%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-8.87%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-17.13%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-1.91%</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71.99%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-55.34%</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Enterprise Value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9,927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15,506</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15,957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18,568</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19,444</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14,583</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PE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-3.63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22.63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10.88</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-2.51</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-6.85</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-3.87</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PS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1.71</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1.81</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3.02</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3.87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1.72</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PB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0.5</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0.89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0.98</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0.84</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0.46</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P/FCF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40.5</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54.59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24.78</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1027.49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-48.4</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-4.47</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P/OCF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3.57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3.95</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3.69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7.24</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16.28</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5.41</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EV/Sales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3.26</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2.93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2.41</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5.28</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3.07</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lastRenderedPageBreak/>
              <w:t xml:space="preserve">EV/EBITDA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9.08</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5.01</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3.87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-7.05</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15.73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233.92</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EV/EBIT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-8.31</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23.9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9.59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-3.76</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-22.59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-5.72</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EV/FCF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77.32</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76.39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32.96</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1362.7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-65.97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-7.96</w:t>
            </w:r>
          </w:p>
        </w:tc>
      </w:tr>
      <w:tr w:rsidR="00B64A7D" w:rsidRPr="001B130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Debt / Equity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0.51</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0.45</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0.45</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0.47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0.41</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0.39</w:t>
            </w:r>
          </w:p>
        </w:tc>
      </w:tr>
      <w:tr w:rsidR="00B64A7D" w:rsidRPr="001B130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Debt / EBITDA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4.88</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1.81</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1.34</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5.72</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111.95</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Debt / FCF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41.57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27.64</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11.43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392.43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-23.98</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-3.81</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Current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1.22</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1.59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1.64</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1.5</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Quick acid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1.23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1.13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1.39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1.22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1.44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1.23 </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Asset Turnover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0.17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0.25</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0.2</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0.12</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0.14</w:t>
            </w:r>
          </w:p>
        </w:tc>
      </w:tr>
      <w:tr w:rsidR="00B64A7D" w:rsidRPr="001B130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Return on Equity (ROE)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-13.00%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3.90%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9.10%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-47.20%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-11.40%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-11.20%</w:t>
            </w:r>
          </w:p>
        </w:tc>
      </w:tr>
      <w:tr w:rsidR="00B64A7D" w:rsidRPr="001B130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Return on Assets (ROA)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-7.70%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2.30%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5.10%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-24.40%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-6.60%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-6.40%</w:t>
            </w:r>
          </w:p>
        </w:tc>
      </w:tr>
      <w:tr w:rsidR="00B64A7D" w:rsidRPr="001B130D" w:rsidTr="00B64A7D">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Profit Margin </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-47.02%</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9.25%</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16.65%</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-120.10%</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-56.51%</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-44.50%</w:t>
            </w:r>
          </w:p>
        </w:tc>
      </w:tr>
      <w:tr w:rsidR="00B64A7D" w:rsidRPr="001B130D" w:rsidTr="00B64A7D">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Gross Margin </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62.70%</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74.62%</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78.47%</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72.40%</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61.74%</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61.86%</w:t>
            </w:r>
          </w:p>
        </w:tc>
      </w:tr>
      <w:tr w:rsidR="00B64A7D" w:rsidRPr="001B130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Return on Capital (ROIC)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-5.50%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2.80%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7.00%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-19.60%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-2.50%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-7.10%</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Earnings Yield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-27.56%</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4.42%</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9.19%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-39.79%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-14.59%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-25.85%</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FCF Yield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2.47%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1.83%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4.04%</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0.10%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-22.39%</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Dividend Yield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1.49%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1.42%</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1.18%</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1.12%</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5.40%</w:t>
            </w:r>
          </w:p>
        </w:tc>
      </w:tr>
      <w:tr w:rsidR="00B64A7D" w:rsidRPr="001B130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Payout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-4.40%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33.90%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15.40%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-3.00%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-7.70%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-20.90%</w:t>
            </w:r>
          </w:p>
        </w:tc>
      </w:tr>
      <w:tr w:rsidR="00B64A7D" w:rsidRPr="001B130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Buyback Yield / Dilution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2.22%</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4.37%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0.35%</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-3.79%</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-20.97%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0.88%</w:t>
            </w:r>
          </w:p>
        </w:tc>
      </w:tr>
      <w:tr w:rsidR="00B64A7D" w:rsidRPr="001B130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Total Shareholder Return </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3.43%</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5.86%</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1.77%</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-2.60%</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-19.86%</w:t>
            </w:r>
          </w:p>
        </w:tc>
        <w:tc>
          <w:tcPr>
            <w:tcW w:w="960" w:type="dxa"/>
            <w:tcBorders>
              <w:top w:val="nil"/>
              <w:left w:val="nil"/>
              <w:bottom w:val="single" w:sz="4" w:space="0" w:color="auto"/>
              <w:right w:val="single" w:sz="4" w:space="0" w:color="auto"/>
            </w:tcBorders>
            <w:shd w:val="clear" w:color="auto" w:fill="auto"/>
            <w:vAlign w:val="center"/>
            <w:hideMark/>
          </w:tcPr>
          <w:p w:rsidR="00B64A7D" w:rsidRPr="001B130D" w:rsidRDefault="00B64A7D" w:rsidP="00B64A7D">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6.28%</w:t>
            </w:r>
          </w:p>
        </w:tc>
      </w:tr>
    </w:tbl>
    <w:p w:rsidR="00B76538" w:rsidRPr="001B130D" w:rsidRDefault="00B76538" w:rsidP="00FD2FBD">
      <w:pPr>
        <w:rPr>
          <w:rFonts w:ascii="Times New Roman" w:eastAsia="Times New Roman" w:hAnsi="Times New Roman" w:cs="Times New Roman"/>
          <w:sz w:val="24"/>
          <w:szCs w:val="24"/>
        </w:rPr>
      </w:pPr>
    </w:p>
    <w:p w:rsidR="00B76538" w:rsidRPr="001B130D" w:rsidRDefault="0003377C" w:rsidP="00FD2FBD">
      <w:pPr>
        <w:rPr>
          <w:rFonts w:ascii="Times New Roman" w:eastAsia="Times New Roman" w:hAnsi="Times New Roman" w:cs="Times New Roman"/>
          <w:b/>
          <w:sz w:val="24"/>
          <w:szCs w:val="24"/>
        </w:rPr>
      </w:pPr>
      <w:r w:rsidRPr="001B130D">
        <w:rPr>
          <w:rFonts w:ascii="Times New Roman" w:eastAsia="Times New Roman" w:hAnsi="Times New Roman" w:cs="Times New Roman"/>
          <w:b/>
          <w:sz w:val="24"/>
          <w:szCs w:val="24"/>
        </w:rPr>
        <w:t>Liquidity Ratios</w:t>
      </w:r>
    </w:p>
    <w:p w:rsidR="001F312F" w:rsidRPr="001B130D" w:rsidRDefault="00BB0FB7" w:rsidP="00FD2FBD">
      <w:pPr>
        <w:rPr>
          <w:rFonts w:ascii="Times New Roman" w:eastAsia="Times New Roman" w:hAnsi="Times New Roman" w:cs="Times New Roman"/>
          <w:b/>
          <w:i/>
          <w:sz w:val="24"/>
          <w:szCs w:val="24"/>
        </w:rPr>
      </w:pPr>
      <w:r w:rsidRPr="001B130D">
        <w:rPr>
          <w:rFonts w:ascii="Times New Roman" w:eastAsia="Times New Roman" w:hAnsi="Times New Roman" w:cs="Times New Roman"/>
          <w:b/>
          <w:i/>
          <w:sz w:val="24"/>
          <w:szCs w:val="24"/>
        </w:rPr>
        <w:t xml:space="preserve">Table 4: </w:t>
      </w:r>
      <w:r w:rsidR="0003377C" w:rsidRPr="001B130D">
        <w:rPr>
          <w:rFonts w:ascii="Times New Roman" w:eastAsia="Times New Roman" w:hAnsi="Times New Roman" w:cs="Times New Roman"/>
          <w:b/>
          <w:i/>
          <w:sz w:val="24"/>
          <w:szCs w:val="24"/>
        </w:rPr>
        <w:t>Current Ratio and Quick ratio</w:t>
      </w:r>
    </w:p>
    <w:tbl>
      <w:tblPr>
        <w:tblStyle w:val="TableGrid"/>
        <w:tblW w:w="0" w:type="auto"/>
        <w:tblLook w:val="04A0"/>
      </w:tblPr>
      <w:tblGrid>
        <w:gridCol w:w="1880"/>
        <w:gridCol w:w="960"/>
        <w:gridCol w:w="960"/>
        <w:gridCol w:w="960"/>
        <w:gridCol w:w="960"/>
        <w:gridCol w:w="960"/>
        <w:gridCol w:w="960"/>
      </w:tblGrid>
      <w:tr w:rsidR="003A6854" w:rsidRPr="001B130D" w:rsidTr="003A6854">
        <w:trPr>
          <w:trHeight w:val="660"/>
        </w:trPr>
        <w:tc>
          <w:tcPr>
            <w:tcW w:w="1880" w:type="dxa"/>
            <w:noWrap/>
            <w:hideMark/>
          </w:tcPr>
          <w:p w:rsidR="003A6854" w:rsidRPr="001B130D" w:rsidRDefault="003A6854">
            <w:pPr>
              <w:rPr>
                <w:rFonts w:ascii="Times New Roman" w:eastAsia="Times New Roman" w:hAnsi="Times New Roman" w:cs="Times New Roman"/>
                <w:sz w:val="24"/>
                <w:szCs w:val="24"/>
              </w:rPr>
            </w:pPr>
          </w:p>
        </w:tc>
        <w:tc>
          <w:tcPr>
            <w:tcW w:w="960" w:type="dxa"/>
            <w:hideMark/>
          </w:tcPr>
          <w:p w:rsidR="003A6854" w:rsidRPr="001B130D" w:rsidRDefault="003A6854" w:rsidP="003A6854">
            <w:pPr>
              <w:rPr>
                <w:rFonts w:ascii="Times New Roman" w:eastAsia="Times New Roman" w:hAnsi="Times New Roman" w:cs="Times New Roman"/>
                <w:b/>
                <w:bCs/>
                <w:sz w:val="24"/>
                <w:szCs w:val="24"/>
              </w:rPr>
            </w:pPr>
            <w:r w:rsidRPr="001B130D">
              <w:rPr>
                <w:rFonts w:ascii="Times New Roman" w:eastAsia="Times New Roman" w:hAnsi="Times New Roman" w:cs="Times New Roman"/>
                <w:b/>
                <w:bCs/>
                <w:sz w:val="24"/>
                <w:szCs w:val="24"/>
              </w:rPr>
              <w:t>2020</w:t>
            </w:r>
          </w:p>
        </w:tc>
        <w:tc>
          <w:tcPr>
            <w:tcW w:w="960" w:type="dxa"/>
            <w:hideMark/>
          </w:tcPr>
          <w:p w:rsidR="003A6854" w:rsidRPr="001B130D" w:rsidRDefault="003A6854" w:rsidP="003A6854">
            <w:pPr>
              <w:rPr>
                <w:rFonts w:ascii="Times New Roman" w:eastAsia="Times New Roman" w:hAnsi="Times New Roman" w:cs="Times New Roman"/>
                <w:b/>
                <w:bCs/>
                <w:sz w:val="24"/>
                <w:szCs w:val="24"/>
              </w:rPr>
            </w:pPr>
            <w:r w:rsidRPr="001B130D">
              <w:rPr>
                <w:rFonts w:ascii="Times New Roman" w:eastAsia="Times New Roman" w:hAnsi="Times New Roman" w:cs="Times New Roman"/>
                <w:b/>
                <w:bCs/>
                <w:sz w:val="24"/>
                <w:szCs w:val="24"/>
              </w:rPr>
              <w:t>2019</w:t>
            </w:r>
          </w:p>
        </w:tc>
        <w:tc>
          <w:tcPr>
            <w:tcW w:w="960" w:type="dxa"/>
            <w:hideMark/>
          </w:tcPr>
          <w:p w:rsidR="003A6854" w:rsidRPr="001B130D" w:rsidRDefault="003A6854" w:rsidP="003A6854">
            <w:pPr>
              <w:rPr>
                <w:rFonts w:ascii="Times New Roman" w:eastAsia="Times New Roman" w:hAnsi="Times New Roman" w:cs="Times New Roman"/>
                <w:b/>
                <w:bCs/>
                <w:sz w:val="24"/>
                <w:szCs w:val="24"/>
              </w:rPr>
            </w:pPr>
            <w:r w:rsidRPr="001B130D">
              <w:rPr>
                <w:rFonts w:ascii="Times New Roman" w:eastAsia="Times New Roman" w:hAnsi="Times New Roman" w:cs="Times New Roman"/>
                <w:b/>
                <w:bCs/>
                <w:sz w:val="24"/>
                <w:szCs w:val="24"/>
              </w:rPr>
              <w:t>2018</w:t>
            </w:r>
          </w:p>
        </w:tc>
        <w:tc>
          <w:tcPr>
            <w:tcW w:w="960" w:type="dxa"/>
            <w:hideMark/>
          </w:tcPr>
          <w:p w:rsidR="003A6854" w:rsidRPr="001B130D" w:rsidRDefault="003A6854" w:rsidP="003A6854">
            <w:pPr>
              <w:rPr>
                <w:rFonts w:ascii="Times New Roman" w:eastAsia="Times New Roman" w:hAnsi="Times New Roman" w:cs="Times New Roman"/>
                <w:b/>
                <w:bCs/>
                <w:sz w:val="24"/>
                <w:szCs w:val="24"/>
              </w:rPr>
            </w:pPr>
            <w:r w:rsidRPr="001B130D">
              <w:rPr>
                <w:rFonts w:ascii="Times New Roman" w:eastAsia="Times New Roman" w:hAnsi="Times New Roman" w:cs="Times New Roman"/>
                <w:b/>
                <w:bCs/>
                <w:sz w:val="24"/>
                <w:szCs w:val="24"/>
              </w:rPr>
              <w:t>2017</w:t>
            </w:r>
          </w:p>
        </w:tc>
        <w:tc>
          <w:tcPr>
            <w:tcW w:w="960" w:type="dxa"/>
            <w:hideMark/>
          </w:tcPr>
          <w:p w:rsidR="003A6854" w:rsidRPr="001B130D" w:rsidRDefault="003A6854" w:rsidP="003A6854">
            <w:pPr>
              <w:rPr>
                <w:rFonts w:ascii="Times New Roman" w:eastAsia="Times New Roman" w:hAnsi="Times New Roman" w:cs="Times New Roman"/>
                <w:b/>
                <w:bCs/>
                <w:sz w:val="24"/>
                <w:szCs w:val="24"/>
              </w:rPr>
            </w:pPr>
            <w:r w:rsidRPr="001B130D">
              <w:rPr>
                <w:rFonts w:ascii="Times New Roman" w:eastAsia="Times New Roman" w:hAnsi="Times New Roman" w:cs="Times New Roman"/>
                <w:b/>
                <w:bCs/>
                <w:sz w:val="24"/>
                <w:szCs w:val="24"/>
              </w:rPr>
              <w:t>2016</w:t>
            </w:r>
          </w:p>
        </w:tc>
        <w:tc>
          <w:tcPr>
            <w:tcW w:w="960" w:type="dxa"/>
            <w:hideMark/>
          </w:tcPr>
          <w:p w:rsidR="003A6854" w:rsidRPr="001B130D" w:rsidRDefault="003A6854" w:rsidP="003A6854">
            <w:pPr>
              <w:rPr>
                <w:rFonts w:ascii="Times New Roman" w:eastAsia="Times New Roman" w:hAnsi="Times New Roman" w:cs="Times New Roman"/>
                <w:b/>
                <w:bCs/>
                <w:sz w:val="24"/>
                <w:szCs w:val="24"/>
              </w:rPr>
            </w:pPr>
            <w:r w:rsidRPr="001B130D">
              <w:rPr>
                <w:rFonts w:ascii="Times New Roman" w:eastAsia="Times New Roman" w:hAnsi="Times New Roman" w:cs="Times New Roman"/>
                <w:b/>
                <w:bCs/>
                <w:sz w:val="24"/>
                <w:szCs w:val="24"/>
              </w:rPr>
              <w:t>2015</w:t>
            </w:r>
          </w:p>
        </w:tc>
      </w:tr>
      <w:tr w:rsidR="003A6854" w:rsidRPr="001B130D" w:rsidTr="003A6854">
        <w:trPr>
          <w:trHeight w:val="330"/>
        </w:trPr>
        <w:tc>
          <w:tcPr>
            <w:tcW w:w="1880" w:type="dxa"/>
            <w:hideMark/>
          </w:tcPr>
          <w:p w:rsidR="003A6854" w:rsidRPr="001B130D" w:rsidRDefault="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lastRenderedPageBreak/>
              <w:t xml:space="preserve">Current Ratio </w:t>
            </w:r>
          </w:p>
        </w:tc>
        <w:tc>
          <w:tcPr>
            <w:tcW w:w="960" w:type="dxa"/>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1.33</w:t>
            </w:r>
          </w:p>
        </w:tc>
        <w:tc>
          <w:tcPr>
            <w:tcW w:w="960" w:type="dxa"/>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1.22</w:t>
            </w:r>
          </w:p>
        </w:tc>
        <w:tc>
          <w:tcPr>
            <w:tcW w:w="960" w:type="dxa"/>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1.59</w:t>
            </w:r>
          </w:p>
        </w:tc>
        <w:tc>
          <w:tcPr>
            <w:tcW w:w="960" w:type="dxa"/>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1.3</w:t>
            </w:r>
          </w:p>
        </w:tc>
        <w:tc>
          <w:tcPr>
            <w:tcW w:w="960" w:type="dxa"/>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1.64</w:t>
            </w:r>
          </w:p>
        </w:tc>
        <w:tc>
          <w:tcPr>
            <w:tcW w:w="960" w:type="dxa"/>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1.5</w:t>
            </w:r>
          </w:p>
        </w:tc>
      </w:tr>
      <w:tr w:rsidR="003A6854" w:rsidRPr="001B130D" w:rsidTr="003A6854">
        <w:trPr>
          <w:trHeight w:val="330"/>
        </w:trPr>
        <w:tc>
          <w:tcPr>
            <w:tcW w:w="1880" w:type="dxa"/>
            <w:hideMark/>
          </w:tcPr>
          <w:p w:rsidR="003A6854" w:rsidRPr="001B130D" w:rsidRDefault="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Quick acid </w:t>
            </w:r>
          </w:p>
        </w:tc>
        <w:tc>
          <w:tcPr>
            <w:tcW w:w="960" w:type="dxa"/>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       1.23 </w:t>
            </w:r>
          </w:p>
        </w:tc>
        <w:tc>
          <w:tcPr>
            <w:tcW w:w="960" w:type="dxa"/>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       1.13 </w:t>
            </w:r>
          </w:p>
        </w:tc>
        <w:tc>
          <w:tcPr>
            <w:tcW w:w="960" w:type="dxa"/>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       1.39 </w:t>
            </w:r>
          </w:p>
        </w:tc>
        <w:tc>
          <w:tcPr>
            <w:tcW w:w="960" w:type="dxa"/>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       1.22 </w:t>
            </w:r>
          </w:p>
        </w:tc>
        <w:tc>
          <w:tcPr>
            <w:tcW w:w="960" w:type="dxa"/>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       1.44 </w:t>
            </w:r>
          </w:p>
        </w:tc>
        <w:tc>
          <w:tcPr>
            <w:tcW w:w="960" w:type="dxa"/>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       1.23 </w:t>
            </w:r>
          </w:p>
        </w:tc>
      </w:tr>
      <w:tr w:rsidR="003A6854" w:rsidRPr="001B130D" w:rsidTr="003A6854">
        <w:trPr>
          <w:trHeight w:val="330"/>
        </w:trPr>
        <w:tc>
          <w:tcPr>
            <w:tcW w:w="1880" w:type="dxa"/>
            <w:noWrap/>
            <w:hideMark/>
          </w:tcPr>
          <w:p w:rsidR="003A6854" w:rsidRPr="001B130D" w:rsidRDefault="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Working Capital </w:t>
            </w:r>
          </w:p>
        </w:tc>
        <w:tc>
          <w:tcPr>
            <w:tcW w:w="960" w:type="dxa"/>
            <w:noWrap/>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399</w:t>
            </w:r>
          </w:p>
        </w:tc>
        <w:tc>
          <w:tcPr>
            <w:tcW w:w="960" w:type="dxa"/>
            <w:noWrap/>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390</w:t>
            </w:r>
          </w:p>
        </w:tc>
        <w:tc>
          <w:tcPr>
            <w:tcW w:w="960" w:type="dxa"/>
            <w:noWrap/>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1,089</w:t>
            </w:r>
          </w:p>
        </w:tc>
        <w:tc>
          <w:tcPr>
            <w:tcW w:w="960" w:type="dxa"/>
            <w:noWrap/>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598</w:t>
            </w:r>
          </w:p>
        </w:tc>
        <w:tc>
          <w:tcPr>
            <w:tcW w:w="960" w:type="dxa"/>
            <w:noWrap/>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1,425</w:t>
            </w:r>
          </w:p>
        </w:tc>
        <w:tc>
          <w:tcPr>
            <w:tcW w:w="960" w:type="dxa"/>
            <w:noWrap/>
            <w:hideMark/>
          </w:tcPr>
          <w:p w:rsidR="003A6854" w:rsidRPr="001B130D" w:rsidRDefault="003A6854" w:rsidP="003A6854">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861</w:t>
            </w:r>
          </w:p>
        </w:tc>
      </w:tr>
    </w:tbl>
    <w:p w:rsidR="003A6854" w:rsidRPr="001B130D" w:rsidRDefault="003A6854" w:rsidP="00FD2FBD">
      <w:pPr>
        <w:rPr>
          <w:rFonts w:ascii="Times New Roman" w:eastAsia="Times New Roman" w:hAnsi="Times New Roman" w:cs="Times New Roman"/>
          <w:sz w:val="24"/>
          <w:szCs w:val="24"/>
        </w:rPr>
      </w:pPr>
    </w:p>
    <w:p w:rsidR="001F312F" w:rsidRPr="001B130D" w:rsidRDefault="0003377C" w:rsidP="00FD2FBD">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The ratios are above 1 which indicates that the company’s </w:t>
      </w:r>
      <w:r w:rsidR="00C275AC" w:rsidRPr="001B130D">
        <w:rPr>
          <w:rFonts w:ascii="Times New Roman" w:eastAsia="Times New Roman" w:hAnsi="Times New Roman" w:cs="Times New Roman"/>
          <w:sz w:val="24"/>
          <w:szCs w:val="24"/>
        </w:rPr>
        <w:t>current assets are able to pay for liabilities.</w:t>
      </w:r>
    </w:p>
    <w:p w:rsidR="00005909" w:rsidRPr="001B130D" w:rsidRDefault="00BB0FB7" w:rsidP="00FD2FBD">
      <w:pPr>
        <w:rPr>
          <w:rFonts w:ascii="Times New Roman" w:eastAsia="Times New Roman" w:hAnsi="Times New Roman" w:cs="Times New Roman"/>
          <w:b/>
          <w:i/>
          <w:sz w:val="24"/>
          <w:szCs w:val="24"/>
        </w:rPr>
      </w:pPr>
      <w:r w:rsidRPr="001B130D">
        <w:rPr>
          <w:rFonts w:ascii="Times New Roman" w:eastAsia="Times New Roman" w:hAnsi="Times New Roman" w:cs="Times New Roman"/>
          <w:b/>
          <w:i/>
          <w:sz w:val="24"/>
          <w:szCs w:val="24"/>
        </w:rPr>
        <w:t xml:space="preserve">Table 5: </w:t>
      </w:r>
      <w:r w:rsidR="00C275AC" w:rsidRPr="001B130D">
        <w:rPr>
          <w:rFonts w:ascii="Times New Roman" w:eastAsia="Times New Roman" w:hAnsi="Times New Roman" w:cs="Times New Roman"/>
          <w:b/>
          <w:i/>
          <w:sz w:val="24"/>
          <w:szCs w:val="24"/>
        </w:rPr>
        <w:t>Profitability Ratios</w:t>
      </w:r>
    </w:p>
    <w:tbl>
      <w:tblPr>
        <w:tblW w:w="8745" w:type="dxa"/>
        <w:tblInd w:w="93" w:type="dxa"/>
        <w:tblLook w:val="04A0"/>
      </w:tblPr>
      <w:tblGrid>
        <w:gridCol w:w="1616"/>
        <w:gridCol w:w="1189"/>
        <w:gridCol w:w="1080"/>
        <w:gridCol w:w="990"/>
        <w:gridCol w:w="1170"/>
        <w:gridCol w:w="1260"/>
        <w:gridCol w:w="1440"/>
      </w:tblGrid>
      <w:tr w:rsidR="00C275AC" w:rsidRPr="001B130D" w:rsidTr="00C275AC">
        <w:trPr>
          <w:trHeight w:val="128"/>
        </w:trPr>
        <w:tc>
          <w:tcPr>
            <w:tcW w:w="16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75AC" w:rsidRPr="001B130D" w:rsidRDefault="00C275AC" w:rsidP="00C275AC">
            <w:pPr>
              <w:spacing w:after="0" w:line="240" w:lineRule="auto"/>
              <w:rPr>
                <w:rFonts w:ascii="Times New Roman" w:eastAsia="Times New Roman" w:hAnsi="Times New Roman" w:cs="Times New Roman"/>
                <w:color w:val="000000"/>
                <w:sz w:val="24"/>
                <w:szCs w:val="24"/>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C275AC" w:rsidRPr="001B130D" w:rsidRDefault="00C275AC" w:rsidP="00336C07">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2020</w:t>
            </w:r>
          </w:p>
        </w:tc>
        <w:tc>
          <w:tcPr>
            <w:tcW w:w="1080" w:type="dxa"/>
            <w:tcBorders>
              <w:top w:val="single" w:sz="4" w:space="0" w:color="auto"/>
              <w:left w:val="nil"/>
              <w:bottom w:val="single" w:sz="4" w:space="0" w:color="auto"/>
              <w:right w:val="single" w:sz="4" w:space="0" w:color="auto"/>
            </w:tcBorders>
            <w:shd w:val="clear" w:color="auto" w:fill="auto"/>
            <w:vAlign w:val="center"/>
          </w:tcPr>
          <w:p w:rsidR="00C275AC" w:rsidRPr="001B130D" w:rsidRDefault="00C275AC" w:rsidP="00336C07">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2019</w:t>
            </w:r>
          </w:p>
        </w:tc>
        <w:tc>
          <w:tcPr>
            <w:tcW w:w="990" w:type="dxa"/>
            <w:tcBorders>
              <w:top w:val="single" w:sz="4" w:space="0" w:color="auto"/>
              <w:left w:val="nil"/>
              <w:bottom w:val="single" w:sz="4" w:space="0" w:color="auto"/>
              <w:right w:val="single" w:sz="4" w:space="0" w:color="auto"/>
            </w:tcBorders>
            <w:shd w:val="clear" w:color="auto" w:fill="auto"/>
            <w:vAlign w:val="center"/>
          </w:tcPr>
          <w:p w:rsidR="00C275AC" w:rsidRPr="001B130D" w:rsidRDefault="00C275AC" w:rsidP="00336C07">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2018</w:t>
            </w:r>
          </w:p>
        </w:tc>
        <w:tc>
          <w:tcPr>
            <w:tcW w:w="1170" w:type="dxa"/>
            <w:tcBorders>
              <w:top w:val="single" w:sz="4" w:space="0" w:color="auto"/>
              <w:left w:val="nil"/>
              <w:bottom w:val="single" w:sz="4" w:space="0" w:color="auto"/>
              <w:right w:val="single" w:sz="4" w:space="0" w:color="auto"/>
            </w:tcBorders>
            <w:shd w:val="clear" w:color="auto" w:fill="auto"/>
            <w:vAlign w:val="center"/>
          </w:tcPr>
          <w:p w:rsidR="00C275AC" w:rsidRPr="001B130D" w:rsidRDefault="00C275AC" w:rsidP="00336C07">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2017</w:t>
            </w:r>
          </w:p>
        </w:tc>
        <w:tc>
          <w:tcPr>
            <w:tcW w:w="1260" w:type="dxa"/>
            <w:tcBorders>
              <w:top w:val="single" w:sz="4" w:space="0" w:color="auto"/>
              <w:left w:val="nil"/>
              <w:bottom w:val="single" w:sz="4" w:space="0" w:color="auto"/>
              <w:right w:val="single" w:sz="4" w:space="0" w:color="auto"/>
            </w:tcBorders>
            <w:shd w:val="clear" w:color="auto" w:fill="auto"/>
            <w:vAlign w:val="center"/>
          </w:tcPr>
          <w:p w:rsidR="00C275AC" w:rsidRPr="001B130D" w:rsidRDefault="00C275AC" w:rsidP="00336C07">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2016</w:t>
            </w:r>
          </w:p>
        </w:tc>
        <w:tc>
          <w:tcPr>
            <w:tcW w:w="1440" w:type="dxa"/>
            <w:tcBorders>
              <w:top w:val="single" w:sz="4" w:space="0" w:color="auto"/>
              <w:left w:val="nil"/>
              <w:bottom w:val="single" w:sz="4" w:space="0" w:color="auto"/>
              <w:right w:val="single" w:sz="4" w:space="0" w:color="auto"/>
            </w:tcBorders>
            <w:shd w:val="clear" w:color="auto" w:fill="auto"/>
            <w:vAlign w:val="center"/>
          </w:tcPr>
          <w:p w:rsidR="00C275AC" w:rsidRPr="001B130D" w:rsidRDefault="00C275AC" w:rsidP="00336C07">
            <w:pPr>
              <w:spacing w:after="0" w:line="240" w:lineRule="auto"/>
              <w:jc w:val="center"/>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2015</w:t>
            </w:r>
          </w:p>
        </w:tc>
      </w:tr>
      <w:tr w:rsidR="00C275AC" w:rsidRPr="001B130D" w:rsidTr="00C275AC">
        <w:trPr>
          <w:trHeight w:val="855"/>
        </w:trPr>
        <w:tc>
          <w:tcPr>
            <w:tcW w:w="1616" w:type="dxa"/>
            <w:tcBorders>
              <w:top w:val="single" w:sz="4" w:space="0" w:color="auto"/>
              <w:left w:val="single" w:sz="4" w:space="0" w:color="auto"/>
              <w:bottom w:val="single" w:sz="4" w:space="0" w:color="auto"/>
              <w:right w:val="single" w:sz="4" w:space="0" w:color="auto"/>
            </w:tcBorders>
            <w:shd w:val="clear" w:color="auto" w:fill="auto"/>
            <w:vAlign w:val="center"/>
          </w:tcPr>
          <w:p w:rsidR="00C275AC" w:rsidRPr="001B130D" w:rsidRDefault="00C275AC" w:rsidP="00C275AC">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Return on Equity (ROE) </w:t>
            </w:r>
          </w:p>
        </w:tc>
        <w:tc>
          <w:tcPr>
            <w:tcW w:w="1189" w:type="dxa"/>
            <w:tcBorders>
              <w:top w:val="single" w:sz="4" w:space="0" w:color="auto"/>
              <w:left w:val="nil"/>
              <w:bottom w:val="single" w:sz="4" w:space="0" w:color="auto"/>
              <w:right w:val="single" w:sz="4" w:space="0" w:color="auto"/>
            </w:tcBorders>
            <w:shd w:val="clear" w:color="auto" w:fill="auto"/>
            <w:vAlign w:val="center"/>
          </w:tcPr>
          <w:p w:rsidR="00C275AC" w:rsidRPr="001B130D" w:rsidRDefault="00C275AC" w:rsidP="00336C07">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-13.00%</w:t>
            </w:r>
          </w:p>
        </w:tc>
        <w:tc>
          <w:tcPr>
            <w:tcW w:w="1080" w:type="dxa"/>
            <w:tcBorders>
              <w:top w:val="single" w:sz="4" w:space="0" w:color="auto"/>
              <w:left w:val="nil"/>
              <w:bottom w:val="single" w:sz="4" w:space="0" w:color="auto"/>
              <w:right w:val="single" w:sz="4" w:space="0" w:color="auto"/>
            </w:tcBorders>
            <w:shd w:val="clear" w:color="auto" w:fill="auto"/>
            <w:vAlign w:val="center"/>
          </w:tcPr>
          <w:p w:rsidR="00C275AC" w:rsidRPr="001B130D" w:rsidRDefault="00C275AC" w:rsidP="00336C07">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3.90%</w:t>
            </w:r>
          </w:p>
        </w:tc>
        <w:tc>
          <w:tcPr>
            <w:tcW w:w="990" w:type="dxa"/>
            <w:tcBorders>
              <w:top w:val="single" w:sz="4" w:space="0" w:color="auto"/>
              <w:left w:val="nil"/>
              <w:bottom w:val="single" w:sz="4" w:space="0" w:color="auto"/>
              <w:right w:val="single" w:sz="4" w:space="0" w:color="auto"/>
            </w:tcBorders>
            <w:shd w:val="clear" w:color="auto" w:fill="auto"/>
            <w:vAlign w:val="center"/>
          </w:tcPr>
          <w:p w:rsidR="00C275AC" w:rsidRPr="001B130D" w:rsidRDefault="00C275AC" w:rsidP="00336C07">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9.10%</w:t>
            </w:r>
          </w:p>
        </w:tc>
        <w:tc>
          <w:tcPr>
            <w:tcW w:w="1170" w:type="dxa"/>
            <w:tcBorders>
              <w:top w:val="single" w:sz="4" w:space="0" w:color="auto"/>
              <w:left w:val="nil"/>
              <w:bottom w:val="single" w:sz="4" w:space="0" w:color="auto"/>
              <w:right w:val="single" w:sz="4" w:space="0" w:color="auto"/>
            </w:tcBorders>
            <w:shd w:val="clear" w:color="auto" w:fill="auto"/>
            <w:vAlign w:val="center"/>
          </w:tcPr>
          <w:p w:rsidR="00C275AC" w:rsidRPr="001B130D" w:rsidRDefault="00C275AC" w:rsidP="00336C07">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-47.20%</w:t>
            </w:r>
          </w:p>
        </w:tc>
        <w:tc>
          <w:tcPr>
            <w:tcW w:w="1260" w:type="dxa"/>
            <w:tcBorders>
              <w:top w:val="single" w:sz="4" w:space="0" w:color="auto"/>
              <w:left w:val="nil"/>
              <w:bottom w:val="single" w:sz="4" w:space="0" w:color="auto"/>
              <w:right w:val="single" w:sz="4" w:space="0" w:color="auto"/>
            </w:tcBorders>
            <w:shd w:val="clear" w:color="auto" w:fill="auto"/>
            <w:vAlign w:val="center"/>
          </w:tcPr>
          <w:p w:rsidR="00C275AC" w:rsidRPr="001B130D" w:rsidRDefault="00C275AC" w:rsidP="00336C07">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-11.40%</w:t>
            </w:r>
          </w:p>
        </w:tc>
        <w:tc>
          <w:tcPr>
            <w:tcW w:w="1440" w:type="dxa"/>
            <w:tcBorders>
              <w:top w:val="single" w:sz="4" w:space="0" w:color="auto"/>
              <w:left w:val="nil"/>
              <w:bottom w:val="single" w:sz="4" w:space="0" w:color="auto"/>
              <w:right w:val="single" w:sz="4" w:space="0" w:color="auto"/>
            </w:tcBorders>
            <w:shd w:val="clear" w:color="auto" w:fill="auto"/>
            <w:vAlign w:val="center"/>
          </w:tcPr>
          <w:p w:rsidR="00C275AC" w:rsidRPr="001B130D" w:rsidRDefault="00C275AC" w:rsidP="00336C07">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-11.20%</w:t>
            </w:r>
          </w:p>
        </w:tc>
      </w:tr>
      <w:tr w:rsidR="00C275AC" w:rsidRPr="001B130D" w:rsidTr="00C275AC">
        <w:trPr>
          <w:trHeight w:val="935"/>
        </w:trPr>
        <w:tc>
          <w:tcPr>
            <w:tcW w:w="1616" w:type="dxa"/>
            <w:tcBorders>
              <w:top w:val="nil"/>
              <w:left w:val="single" w:sz="4" w:space="0" w:color="auto"/>
              <w:bottom w:val="single" w:sz="4" w:space="0" w:color="auto"/>
              <w:right w:val="single" w:sz="4" w:space="0" w:color="auto"/>
            </w:tcBorders>
            <w:shd w:val="clear" w:color="auto" w:fill="auto"/>
            <w:vAlign w:val="center"/>
            <w:hideMark/>
          </w:tcPr>
          <w:p w:rsidR="00C275AC" w:rsidRPr="001B130D" w:rsidRDefault="00C275AC" w:rsidP="00C275AC">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Return on Assets (ROA) </w:t>
            </w:r>
          </w:p>
        </w:tc>
        <w:tc>
          <w:tcPr>
            <w:tcW w:w="1189" w:type="dxa"/>
            <w:tcBorders>
              <w:top w:val="nil"/>
              <w:left w:val="nil"/>
              <w:bottom w:val="single" w:sz="4" w:space="0" w:color="auto"/>
              <w:right w:val="single" w:sz="4" w:space="0" w:color="auto"/>
            </w:tcBorders>
            <w:shd w:val="clear" w:color="auto" w:fill="auto"/>
            <w:vAlign w:val="center"/>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-7.70%</w:t>
            </w:r>
          </w:p>
        </w:tc>
        <w:tc>
          <w:tcPr>
            <w:tcW w:w="1080" w:type="dxa"/>
            <w:tcBorders>
              <w:top w:val="nil"/>
              <w:left w:val="nil"/>
              <w:bottom w:val="single" w:sz="4" w:space="0" w:color="auto"/>
              <w:right w:val="single" w:sz="4" w:space="0" w:color="auto"/>
            </w:tcBorders>
            <w:shd w:val="clear" w:color="auto" w:fill="auto"/>
            <w:vAlign w:val="center"/>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2.30%</w:t>
            </w:r>
          </w:p>
        </w:tc>
        <w:tc>
          <w:tcPr>
            <w:tcW w:w="990" w:type="dxa"/>
            <w:tcBorders>
              <w:top w:val="nil"/>
              <w:left w:val="nil"/>
              <w:bottom w:val="single" w:sz="4" w:space="0" w:color="auto"/>
              <w:right w:val="single" w:sz="4" w:space="0" w:color="auto"/>
            </w:tcBorders>
            <w:shd w:val="clear" w:color="auto" w:fill="auto"/>
            <w:vAlign w:val="center"/>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5.10%</w:t>
            </w:r>
          </w:p>
        </w:tc>
        <w:tc>
          <w:tcPr>
            <w:tcW w:w="1170" w:type="dxa"/>
            <w:tcBorders>
              <w:top w:val="nil"/>
              <w:left w:val="nil"/>
              <w:bottom w:val="single" w:sz="4" w:space="0" w:color="auto"/>
              <w:right w:val="single" w:sz="4" w:space="0" w:color="auto"/>
            </w:tcBorders>
            <w:shd w:val="clear" w:color="auto" w:fill="auto"/>
            <w:vAlign w:val="center"/>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-24.40%</w:t>
            </w:r>
          </w:p>
        </w:tc>
        <w:tc>
          <w:tcPr>
            <w:tcW w:w="1260" w:type="dxa"/>
            <w:tcBorders>
              <w:top w:val="nil"/>
              <w:left w:val="nil"/>
              <w:bottom w:val="single" w:sz="4" w:space="0" w:color="auto"/>
              <w:right w:val="single" w:sz="4" w:space="0" w:color="auto"/>
            </w:tcBorders>
            <w:shd w:val="clear" w:color="auto" w:fill="auto"/>
            <w:vAlign w:val="center"/>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-6.60%</w:t>
            </w:r>
          </w:p>
        </w:tc>
        <w:tc>
          <w:tcPr>
            <w:tcW w:w="1440" w:type="dxa"/>
            <w:tcBorders>
              <w:top w:val="nil"/>
              <w:left w:val="nil"/>
              <w:bottom w:val="single" w:sz="4" w:space="0" w:color="auto"/>
              <w:right w:val="single" w:sz="4" w:space="0" w:color="auto"/>
            </w:tcBorders>
            <w:shd w:val="clear" w:color="auto" w:fill="auto"/>
            <w:vAlign w:val="center"/>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-6.40%</w:t>
            </w:r>
          </w:p>
        </w:tc>
      </w:tr>
      <w:tr w:rsidR="00C275AC" w:rsidRPr="001B130D" w:rsidTr="00C275AC">
        <w:trPr>
          <w:trHeight w:val="330"/>
        </w:trPr>
        <w:tc>
          <w:tcPr>
            <w:tcW w:w="1616" w:type="dxa"/>
            <w:tcBorders>
              <w:top w:val="nil"/>
              <w:left w:val="single" w:sz="4" w:space="0" w:color="auto"/>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Profit Margin </w:t>
            </w:r>
          </w:p>
        </w:tc>
        <w:tc>
          <w:tcPr>
            <w:tcW w:w="1189"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-47.02%</w:t>
            </w:r>
          </w:p>
        </w:tc>
        <w:tc>
          <w:tcPr>
            <w:tcW w:w="1080"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9.25%</w:t>
            </w:r>
          </w:p>
        </w:tc>
        <w:tc>
          <w:tcPr>
            <w:tcW w:w="990"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16.65%</w:t>
            </w:r>
          </w:p>
        </w:tc>
        <w:tc>
          <w:tcPr>
            <w:tcW w:w="1170"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-120.10%</w:t>
            </w:r>
          </w:p>
        </w:tc>
        <w:tc>
          <w:tcPr>
            <w:tcW w:w="1260"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-56.51%</w:t>
            </w:r>
          </w:p>
        </w:tc>
        <w:tc>
          <w:tcPr>
            <w:tcW w:w="1440"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-44.50%</w:t>
            </w:r>
          </w:p>
        </w:tc>
      </w:tr>
      <w:tr w:rsidR="00C275AC" w:rsidRPr="001B130D" w:rsidTr="00C275AC">
        <w:trPr>
          <w:trHeight w:val="330"/>
        </w:trPr>
        <w:tc>
          <w:tcPr>
            <w:tcW w:w="1616" w:type="dxa"/>
            <w:tcBorders>
              <w:top w:val="nil"/>
              <w:left w:val="single" w:sz="4" w:space="0" w:color="auto"/>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Gross Margin </w:t>
            </w:r>
          </w:p>
        </w:tc>
        <w:tc>
          <w:tcPr>
            <w:tcW w:w="1189"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62.70%</w:t>
            </w:r>
          </w:p>
        </w:tc>
        <w:tc>
          <w:tcPr>
            <w:tcW w:w="1080"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74.62%</w:t>
            </w:r>
          </w:p>
        </w:tc>
        <w:tc>
          <w:tcPr>
            <w:tcW w:w="990"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78.47%</w:t>
            </w:r>
          </w:p>
        </w:tc>
        <w:tc>
          <w:tcPr>
            <w:tcW w:w="1170"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72.40%</w:t>
            </w:r>
          </w:p>
        </w:tc>
        <w:tc>
          <w:tcPr>
            <w:tcW w:w="1260"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61.74%</w:t>
            </w:r>
          </w:p>
        </w:tc>
        <w:tc>
          <w:tcPr>
            <w:tcW w:w="1440"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61.86%</w:t>
            </w:r>
          </w:p>
        </w:tc>
      </w:tr>
      <w:tr w:rsidR="00C275AC" w:rsidRPr="001B130D" w:rsidTr="00C275AC">
        <w:trPr>
          <w:trHeight w:val="890"/>
        </w:trPr>
        <w:tc>
          <w:tcPr>
            <w:tcW w:w="1616" w:type="dxa"/>
            <w:tcBorders>
              <w:top w:val="nil"/>
              <w:left w:val="single" w:sz="4" w:space="0" w:color="auto"/>
              <w:bottom w:val="single" w:sz="4" w:space="0" w:color="auto"/>
              <w:right w:val="single" w:sz="4" w:space="0" w:color="auto"/>
            </w:tcBorders>
            <w:shd w:val="clear" w:color="auto" w:fill="auto"/>
            <w:vAlign w:val="center"/>
            <w:hideMark/>
          </w:tcPr>
          <w:p w:rsidR="00C275AC" w:rsidRPr="001B130D" w:rsidRDefault="00C275AC" w:rsidP="00C275AC">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Return on Capital (ROIC) </w:t>
            </w:r>
          </w:p>
        </w:tc>
        <w:tc>
          <w:tcPr>
            <w:tcW w:w="1189" w:type="dxa"/>
            <w:tcBorders>
              <w:top w:val="nil"/>
              <w:left w:val="nil"/>
              <w:bottom w:val="single" w:sz="4" w:space="0" w:color="auto"/>
              <w:right w:val="single" w:sz="4" w:space="0" w:color="auto"/>
            </w:tcBorders>
            <w:shd w:val="clear" w:color="auto" w:fill="auto"/>
            <w:vAlign w:val="center"/>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-5.50%</w:t>
            </w:r>
          </w:p>
        </w:tc>
        <w:tc>
          <w:tcPr>
            <w:tcW w:w="1080" w:type="dxa"/>
            <w:tcBorders>
              <w:top w:val="nil"/>
              <w:left w:val="nil"/>
              <w:bottom w:val="single" w:sz="4" w:space="0" w:color="auto"/>
              <w:right w:val="single" w:sz="4" w:space="0" w:color="auto"/>
            </w:tcBorders>
            <w:shd w:val="clear" w:color="auto" w:fill="auto"/>
            <w:vAlign w:val="center"/>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2.80%</w:t>
            </w:r>
          </w:p>
        </w:tc>
        <w:tc>
          <w:tcPr>
            <w:tcW w:w="990" w:type="dxa"/>
            <w:tcBorders>
              <w:top w:val="nil"/>
              <w:left w:val="nil"/>
              <w:bottom w:val="single" w:sz="4" w:space="0" w:color="auto"/>
              <w:right w:val="single" w:sz="4" w:space="0" w:color="auto"/>
            </w:tcBorders>
            <w:shd w:val="clear" w:color="auto" w:fill="auto"/>
            <w:vAlign w:val="center"/>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7.00%</w:t>
            </w:r>
          </w:p>
        </w:tc>
        <w:tc>
          <w:tcPr>
            <w:tcW w:w="1170" w:type="dxa"/>
            <w:tcBorders>
              <w:top w:val="nil"/>
              <w:left w:val="nil"/>
              <w:bottom w:val="single" w:sz="4" w:space="0" w:color="auto"/>
              <w:right w:val="single" w:sz="4" w:space="0" w:color="auto"/>
            </w:tcBorders>
            <w:shd w:val="clear" w:color="auto" w:fill="auto"/>
            <w:vAlign w:val="center"/>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-19.60%</w:t>
            </w:r>
          </w:p>
        </w:tc>
        <w:tc>
          <w:tcPr>
            <w:tcW w:w="1260" w:type="dxa"/>
            <w:tcBorders>
              <w:top w:val="nil"/>
              <w:left w:val="nil"/>
              <w:bottom w:val="single" w:sz="4" w:space="0" w:color="auto"/>
              <w:right w:val="single" w:sz="4" w:space="0" w:color="auto"/>
            </w:tcBorders>
            <w:shd w:val="clear" w:color="auto" w:fill="auto"/>
            <w:vAlign w:val="center"/>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-2.50%</w:t>
            </w:r>
          </w:p>
        </w:tc>
        <w:tc>
          <w:tcPr>
            <w:tcW w:w="1440" w:type="dxa"/>
            <w:tcBorders>
              <w:top w:val="nil"/>
              <w:left w:val="nil"/>
              <w:bottom w:val="single" w:sz="4" w:space="0" w:color="auto"/>
              <w:right w:val="single" w:sz="4" w:space="0" w:color="auto"/>
            </w:tcBorders>
            <w:shd w:val="clear" w:color="auto" w:fill="auto"/>
            <w:vAlign w:val="center"/>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-7.10%</w:t>
            </w:r>
          </w:p>
        </w:tc>
      </w:tr>
      <w:tr w:rsidR="00C275AC" w:rsidRPr="001B130D" w:rsidTr="00C275AC">
        <w:trPr>
          <w:trHeight w:val="330"/>
        </w:trPr>
        <w:tc>
          <w:tcPr>
            <w:tcW w:w="1616" w:type="dxa"/>
            <w:tcBorders>
              <w:top w:val="nil"/>
              <w:left w:val="single" w:sz="4" w:space="0" w:color="auto"/>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Operating Margin </w:t>
            </w:r>
          </w:p>
        </w:tc>
        <w:tc>
          <w:tcPr>
            <w:tcW w:w="1189"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-38.24%</w:t>
            </w:r>
          </w:p>
        </w:tc>
        <w:tc>
          <w:tcPr>
            <w:tcW w:w="1080"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12.25%</w:t>
            </w:r>
          </w:p>
        </w:tc>
        <w:tc>
          <w:tcPr>
            <w:tcW w:w="990"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25.33%</w:t>
            </w:r>
          </w:p>
        </w:tc>
        <w:tc>
          <w:tcPr>
            <w:tcW w:w="1170"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-2.39%</w:t>
            </w:r>
          </w:p>
        </w:tc>
        <w:tc>
          <w:tcPr>
            <w:tcW w:w="1260"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-19.28%</w:t>
            </w:r>
          </w:p>
        </w:tc>
        <w:tc>
          <w:tcPr>
            <w:tcW w:w="1440" w:type="dxa"/>
            <w:tcBorders>
              <w:top w:val="nil"/>
              <w:left w:val="nil"/>
              <w:bottom w:val="single" w:sz="4" w:space="0" w:color="auto"/>
              <w:right w:val="single" w:sz="4" w:space="0" w:color="auto"/>
            </w:tcBorders>
            <w:shd w:val="clear" w:color="auto" w:fill="auto"/>
            <w:noWrap/>
            <w:vAlign w:val="bottom"/>
            <w:hideMark/>
          </w:tcPr>
          <w:p w:rsidR="00C275AC" w:rsidRPr="001B130D" w:rsidRDefault="00C275AC" w:rsidP="00C275AC">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-43.47%</w:t>
            </w:r>
          </w:p>
        </w:tc>
      </w:tr>
    </w:tbl>
    <w:p w:rsidR="00C275AC" w:rsidRPr="001B130D" w:rsidRDefault="00C275AC" w:rsidP="00FD2FBD">
      <w:pPr>
        <w:rPr>
          <w:rFonts w:ascii="Times New Roman" w:eastAsia="Times New Roman" w:hAnsi="Times New Roman" w:cs="Times New Roman"/>
          <w:sz w:val="24"/>
          <w:szCs w:val="24"/>
        </w:rPr>
      </w:pPr>
    </w:p>
    <w:p w:rsidR="00C275AC" w:rsidRPr="001B130D" w:rsidRDefault="00C275AC" w:rsidP="00FD2FBD">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The table above shows significant deterioration of profitability in most of the ratios between period 2015 and 2017 and between 2018 and 2020. </w:t>
      </w:r>
      <w:r w:rsidR="00832FD7" w:rsidRPr="001B130D">
        <w:rPr>
          <w:rFonts w:ascii="Times New Roman" w:eastAsia="Times New Roman" w:hAnsi="Times New Roman" w:cs="Times New Roman"/>
          <w:sz w:val="24"/>
          <w:szCs w:val="24"/>
        </w:rPr>
        <w:t xml:space="preserve">As indicated earlier, the recent downward performance from 2018 coincides with a deterioration of demand and prices for oil in the market following trade tension and wars between the US and China. </w:t>
      </w:r>
      <w:r w:rsidR="007A2D28" w:rsidRPr="001B130D">
        <w:rPr>
          <w:rFonts w:ascii="Times New Roman" w:eastAsia="Times New Roman" w:hAnsi="Times New Roman" w:cs="Times New Roman"/>
          <w:sz w:val="24"/>
          <w:szCs w:val="24"/>
        </w:rPr>
        <w:t xml:space="preserve">The period before 2018 coincides with slow in economic growth and the peak of </w:t>
      </w:r>
      <w:proofErr w:type="spellStart"/>
      <w:r w:rsidR="007A2D28" w:rsidRPr="001B130D">
        <w:rPr>
          <w:rFonts w:ascii="Times New Roman" w:eastAsia="Times New Roman" w:hAnsi="Times New Roman" w:cs="Times New Roman"/>
          <w:sz w:val="24"/>
          <w:szCs w:val="24"/>
        </w:rPr>
        <w:t>Fracking</w:t>
      </w:r>
      <w:proofErr w:type="spellEnd"/>
      <w:r w:rsidR="007A2D28" w:rsidRPr="001B130D">
        <w:rPr>
          <w:rFonts w:ascii="Times New Roman" w:eastAsia="Times New Roman" w:hAnsi="Times New Roman" w:cs="Times New Roman"/>
          <w:sz w:val="24"/>
          <w:szCs w:val="24"/>
        </w:rPr>
        <w:t xml:space="preserve"> technology which caused the US to increase its oil production hence suppressing prices. </w:t>
      </w:r>
      <w:r w:rsidR="00784B32" w:rsidRPr="001B130D">
        <w:rPr>
          <w:rFonts w:ascii="Times New Roman" w:eastAsia="Times New Roman" w:hAnsi="Times New Roman" w:cs="Times New Roman"/>
          <w:sz w:val="24"/>
          <w:szCs w:val="24"/>
        </w:rPr>
        <w:t>The trend had reversed in 2018 with better management of oil production but the US and China trade tensions reversed the trend and the lowest performance was in 2020.</w:t>
      </w:r>
    </w:p>
    <w:p w:rsidR="007A2D28" w:rsidRPr="001B130D" w:rsidRDefault="00784B32" w:rsidP="00FD2FBD">
      <w:pPr>
        <w:rPr>
          <w:rFonts w:ascii="Times New Roman" w:eastAsia="Times New Roman" w:hAnsi="Times New Roman" w:cs="Times New Roman"/>
          <w:b/>
          <w:i/>
          <w:sz w:val="24"/>
          <w:szCs w:val="24"/>
        </w:rPr>
      </w:pPr>
      <w:r w:rsidRPr="001B130D">
        <w:rPr>
          <w:rFonts w:ascii="Times New Roman" w:eastAsia="Times New Roman" w:hAnsi="Times New Roman" w:cs="Times New Roman"/>
          <w:b/>
          <w:i/>
          <w:sz w:val="24"/>
          <w:szCs w:val="24"/>
        </w:rPr>
        <w:t>Turnover Ratios</w:t>
      </w:r>
    </w:p>
    <w:p w:rsidR="007A2D28" w:rsidRPr="001B130D" w:rsidRDefault="00630F35" w:rsidP="00FD2FBD">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T</w:t>
      </w:r>
      <w:r w:rsidR="00BB0FB7" w:rsidRPr="001B130D">
        <w:rPr>
          <w:rFonts w:ascii="Times New Roman" w:eastAsia="Times New Roman" w:hAnsi="Times New Roman" w:cs="Times New Roman"/>
          <w:sz w:val="24"/>
          <w:szCs w:val="24"/>
        </w:rPr>
        <w:t xml:space="preserve">able 6 below shows </w:t>
      </w:r>
    </w:p>
    <w:p w:rsidR="00BB0FB7" w:rsidRPr="001B130D" w:rsidRDefault="00BB0FB7" w:rsidP="00FD2FBD">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Table 6:  Turnover Ratios</w:t>
      </w:r>
    </w:p>
    <w:tbl>
      <w:tblPr>
        <w:tblW w:w="7860" w:type="dxa"/>
        <w:tblInd w:w="93" w:type="dxa"/>
        <w:tblLook w:val="04A0"/>
      </w:tblPr>
      <w:tblGrid>
        <w:gridCol w:w="2100"/>
        <w:gridCol w:w="960"/>
        <w:gridCol w:w="960"/>
        <w:gridCol w:w="960"/>
        <w:gridCol w:w="960"/>
        <w:gridCol w:w="960"/>
        <w:gridCol w:w="960"/>
      </w:tblGrid>
      <w:tr w:rsidR="00630F35" w:rsidRPr="001B130D" w:rsidTr="00630F35">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2020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2019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2018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2017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2016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2015</w:t>
            </w:r>
          </w:p>
        </w:tc>
      </w:tr>
      <w:tr w:rsidR="00630F35" w:rsidRPr="001B130D" w:rsidTr="00630F35">
        <w:trPr>
          <w:trHeight w:val="300"/>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Inventory turnover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w:t>
            </w:r>
            <w:r w:rsidRPr="001B130D">
              <w:rPr>
                <w:rFonts w:ascii="Times New Roman" w:eastAsia="Times New Roman" w:hAnsi="Times New Roman" w:cs="Times New Roman"/>
                <w:color w:val="000000"/>
                <w:sz w:val="24"/>
                <w:szCs w:val="24"/>
              </w:rPr>
              <w:lastRenderedPageBreak/>
              <w:t xml:space="preserve">15.55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lastRenderedPageBreak/>
              <w:t xml:space="preserve">        </w:t>
            </w:r>
            <w:r w:rsidRPr="001B130D">
              <w:rPr>
                <w:rFonts w:ascii="Times New Roman" w:eastAsia="Times New Roman" w:hAnsi="Times New Roman" w:cs="Times New Roman"/>
                <w:color w:val="000000"/>
                <w:sz w:val="24"/>
                <w:szCs w:val="24"/>
              </w:rPr>
              <w:lastRenderedPageBreak/>
              <w:t xml:space="preserve">15.68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lastRenderedPageBreak/>
              <w:t xml:space="preserve">        </w:t>
            </w:r>
            <w:r w:rsidRPr="001B130D">
              <w:rPr>
                <w:rFonts w:ascii="Times New Roman" w:eastAsia="Times New Roman" w:hAnsi="Times New Roman" w:cs="Times New Roman"/>
                <w:color w:val="000000"/>
                <w:sz w:val="24"/>
                <w:szCs w:val="24"/>
              </w:rPr>
              <w:lastRenderedPageBreak/>
              <w:t xml:space="preserve">12.77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lastRenderedPageBreak/>
              <w:t xml:space="preserve">        </w:t>
            </w:r>
            <w:r w:rsidRPr="001B130D">
              <w:rPr>
                <w:rFonts w:ascii="Times New Roman" w:eastAsia="Times New Roman" w:hAnsi="Times New Roman" w:cs="Times New Roman"/>
                <w:color w:val="000000"/>
                <w:sz w:val="24"/>
                <w:szCs w:val="24"/>
              </w:rPr>
              <w:lastRenderedPageBreak/>
              <w:t xml:space="preserve">10.04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lastRenderedPageBreak/>
              <w:t xml:space="preserve">          </w:t>
            </w:r>
            <w:r w:rsidRPr="001B130D">
              <w:rPr>
                <w:rFonts w:ascii="Times New Roman" w:eastAsia="Times New Roman" w:hAnsi="Times New Roman" w:cs="Times New Roman"/>
                <w:color w:val="000000"/>
                <w:sz w:val="24"/>
                <w:szCs w:val="24"/>
              </w:rPr>
              <w:lastRenderedPageBreak/>
              <w:t xml:space="preserve">6.45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lastRenderedPageBreak/>
              <w:t xml:space="preserve">        </w:t>
            </w:r>
            <w:r w:rsidRPr="001B130D">
              <w:rPr>
                <w:rFonts w:ascii="Times New Roman" w:eastAsia="Times New Roman" w:hAnsi="Times New Roman" w:cs="Times New Roman"/>
                <w:color w:val="000000"/>
                <w:sz w:val="24"/>
                <w:szCs w:val="24"/>
              </w:rPr>
              <w:lastRenderedPageBreak/>
              <w:t xml:space="preserve">12.07 </w:t>
            </w:r>
          </w:p>
        </w:tc>
      </w:tr>
      <w:tr w:rsidR="00630F35" w:rsidRPr="001B130D" w:rsidTr="00630F35">
        <w:trPr>
          <w:trHeight w:val="300"/>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lastRenderedPageBreak/>
              <w:t xml:space="preserve">Accounts Payable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0.29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0.27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0.22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0.32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0.29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0.29 </w:t>
            </w:r>
          </w:p>
        </w:tc>
      </w:tr>
      <w:tr w:rsidR="00630F35" w:rsidRPr="001B130D" w:rsidTr="00630F35">
        <w:trPr>
          <w:trHeight w:val="300"/>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630F35" w:rsidRPr="001B130D" w:rsidRDefault="00862219" w:rsidP="00862219">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Account </w:t>
            </w:r>
            <w:r w:rsidR="00630F35" w:rsidRPr="001B130D">
              <w:rPr>
                <w:rFonts w:ascii="Times New Roman" w:eastAsia="Times New Roman" w:hAnsi="Times New Roman" w:cs="Times New Roman"/>
                <w:color w:val="000000"/>
                <w:sz w:val="24"/>
                <w:szCs w:val="24"/>
              </w:rPr>
              <w:t xml:space="preserve">Receivables </w:t>
            </w:r>
            <w:r w:rsidRPr="001B130D">
              <w:rPr>
                <w:rFonts w:ascii="Times New Roman" w:eastAsia="Times New Roman" w:hAnsi="Times New Roman" w:cs="Times New Roman"/>
                <w:color w:val="000000"/>
                <w:sz w:val="24"/>
                <w:szCs w:val="24"/>
              </w:rPr>
              <w:t xml:space="preserve"> </w:t>
            </w:r>
            <w:r w:rsidR="00630F35" w:rsidRPr="001B130D">
              <w:rPr>
                <w:rFonts w:ascii="Times New Roman" w:eastAsia="Times New Roman" w:hAnsi="Times New Roman" w:cs="Times New Roman"/>
                <w:color w:val="000000"/>
                <w:sz w:val="24"/>
                <w:szCs w:val="24"/>
              </w:rPr>
              <w:t xml:space="preserve">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0.24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0.22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0.16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0.23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0.20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0.18 </w:t>
            </w:r>
          </w:p>
        </w:tc>
      </w:tr>
    </w:tbl>
    <w:p w:rsidR="007A2D28" w:rsidRPr="001B130D" w:rsidRDefault="007A2D28" w:rsidP="00FD2FBD">
      <w:pPr>
        <w:rPr>
          <w:rFonts w:ascii="Times New Roman" w:eastAsia="Times New Roman" w:hAnsi="Times New Roman" w:cs="Times New Roman"/>
          <w:sz w:val="24"/>
          <w:szCs w:val="24"/>
        </w:rPr>
      </w:pPr>
    </w:p>
    <w:p w:rsidR="0078755A" w:rsidRPr="001B130D" w:rsidRDefault="00C82C43" w:rsidP="0078755A">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Higher levels are better because it shows how often the company sales inventory, pay suppliers/creditors or turn receivables into cash. The Inventory turnover trend shows improvement over the years.  Accounts</w:t>
      </w:r>
      <w:r w:rsidR="00862219" w:rsidRPr="001B130D">
        <w:rPr>
          <w:rFonts w:ascii="Times New Roman" w:eastAsia="Times New Roman" w:hAnsi="Times New Roman" w:cs="Times New Roman"/>
          <w:sz w:val="24"/>
          <w:szCs w:val="24"/>
        </w:rPr>
        <w:t xml:space="preserve"> </w:t>
      </w:r>
      <w:r w:rsidRPr="001B130D">
        <w:rPr>
          <w:rFonts w:ascii="Times New Roman" w:eastAsia="Times New Roman" w:hAnsi="Times New Roman" w:cs="Times New Roman"/>
          <w:sz w:val="24"/>
          <w:szCs w:val="24"/>
        </w:rPr>
        <w:t xml:space="preserve">Payable </w:t>
      </w:r>
      <w:r w:rsidR="00862219" w:rsidRPr="001B130D">
        <w:rPr>
          <w:rFonts w:ascii="Times New Roman" w:eastAsia="Times New Roman" w:hAnsi="Times New Roman" w:cs="Times New Roman"/>
          <w:sz w:val="24"/>
          <w:szCs w:val="24"/>
        </w:rPr>
        <w:t>and</w:t>
      </w:r>
      <w:r w:rsidR="00862219" w:rsidRPr="001B130D">
        <w:rPr>
          <w:rFonts w:ascii="Times New Roman" w:hAnsi="Times New Roman" w:cs="Times New Roman"/>
          <w:sz w:val="24"/>
          <w:szCs w:val="24"/>
        </w:rPr>
        <w:t xml:space="preserve"> </w:t>
      </w:r>
      <w:r w:rsidR="00862219" w:rsidRPr="001B130D">
        <w:rPr>
          <w:rFonts w:ascii="Times New Roman" w:eastAsia="Times New Roman" w:hAnsi="Times New Roman" w:cs="Times New Roman"/>
          <w:sz w:val="24"/>
          <w:szCs w:val="24"/>
        </w:rPr>
        <w:t xml:space="preserve">Account Receivables </w:t>
      </w:r>
      <w:r w:rsidRPr="001B130D">
        <w:rPr>
          <w:rFonts w:ascii="Times New Roman" w:eastAsia="Times New Roman" w:hAnsi="Times New Roman" w:cs="Times New Roman"/>
          <w:sz w:val="24"/>
          <w:szCs w:val="24"/>
        </w:rPr>
        <w:t>shows a steady</w:t>
      </w:r>
      <w:r w:rsidR="00862219" w:rsidRPr="001B130D">
        <w:rPr>
          <w:rFonts w:ascii="Times New Roman" w:eastAsia="Times New Roman" w:hAnsi="Times New Roman" w:cs="Times New Roman"/>
          <w:sz w:val="24"/>
          <w:szCs w:val="24"/>
        </w:rPr>
        <w:t xml:space="preserve"> level. </w:t>
      </w:r>
      <w:r w:rsidR="0078755A" w:rsidRPr="001B130D">
        <w:rPr>
          <w:rFonts w:ascii="Times New Roman" w:eastAsia="Times New Roman" w:hAnsi="Times New Roman" w:cs="Times New Roman"/>
          <w:sz w:val="24"/>
          <w:szCs w:val="24"/>
        </w:rPr>
        <w:t xml:space="preserve"> However, appendix 1 shows comparison of Marathon Oil Corporation trailing 12 months (TTM) and the industry average.  Largely, the MRO Receivables’ ratio of 0.24</w:t>
      </w:r>
      <w:r w:rsidR="009014F8" w:rsidRPr="001B130D">
        <w:rPr>
          <w:rFonts w:ascii="Times New Roman" w:eastAsia="Times New Roman" w:hAnsi="Times New Roman" w:cs="Times New Roman"/>
          <w:sz w:val="24"/>
          <w:szCs w:val="24"/>
        </w:rPr>
        <w:t xml:space="preserve"> is poor than the</w:t>
      </w:r>
      <w:r w:rsidR="0078755A" w:rsidRPr="001B130D">
        <w:rPr>
          <w:rFonts w:ascii="Times New Roman" w:eastAsia="Times New Roman" w:hAnsi="Times New Roman" w:cs="Times New Roman"/>
          <w:sz w:val="24"/>
          <w:szCs w:val="24"/>
        </w:rPr>
        <w:t xml:space="preserve"> industry averages of </w:t>
      </w:r>
      <w:r w:rsidR="009014F8" w:rsidRPr="001B130D">
        <w:rPr>
          <w:rFonts w:ascii="Times New Roman" w:eastAsia="Times New Roman" w:hAnsi="Times New Roman" w:cs="Times New Roman"/>
          <w:sz w:val="24"/>
          <w:szCs w:val="24"/>
        </w:rPr>
        <w:t>10.2 while</w:t>
      </w:r>
      <w:r w:rsidR="0078755A" w:rsidRPr="001B130D">
        <w:rPr>
          <w:rFonts w:ascii="Times New Roman" w:eastAsia="Times New Roman" w:hAnsi="Times New Roman" w:cs="Times New Roman"/>
          <w:sz w:val="24"/>
          <w:szCs w:val="24"/>
        </w:rPr>
        <w:t xml:space="preserve"> the</w:t>
      </w:r>
      <w:r w:rsidR="0078755A" w:rsidRPr="001B130D">
        <w:rPr>
          <w:rFonts w:ascii="Times New Roman" w:hAnsi="Times New Roman" w:cs="Times New Roman"/>
          <w:sz w:val="24"/>
          <w:szCs w:val="24"/>
        </w:rPr>
        <w:t xml:space="preserve"> </w:t>
      </w:r>
      <w:r w:rsidR="0078755A" w:rsidRPr="001B130D">
        <w:rPr>
          <w:rFonts w:ascii="Times New Roman" w:eastAsia="Times New Roman" w:hAnsi="Times New Roman" w:cs="Times New Roman"/>
          <w:sz w:val="24"/>
          <w:szCs w:val="24"/>
        </w:rPr>
        <w:t xml:space="preserve">MRO Inventory turnover </w:t>
      </w:r>
      <w:r w:rsidR="008D6CE9" w:rsidRPr="001B130D">
        <w:rPr>
          <w:rFonts w:ascii="Times New Roman" w:eastAsia="Times New Roman" w:hAnsi="Times New Roman" w:cs="Times New Roman"/>
          <w:sz w:val="24"/>
          <w:szCs w:val="24"/>
        </w:rPr>
        <w:t>of 15.55</w:t>
      </w:r>
      <w:r w:rsidR="0078755A" w:rsidRPr="001B130D">
        <w:rPr>
          <w:rFonts w:ascii="Times New Roman" w:eastAsia="Times New Roman" w:hAnsi="Times New Roman" w:cs="Times New Roman"/>
          <w:sz w:val="24"/>
          <w:szCs w:val="24"/>
        </w:rPr>
        <w:t xml:space="preserve"> is better than the industry ratio of 12.79. </w:t>
      </w:r>
    </w:p>
    <w:p w:rsidR="0078755A" w:rsidRPr="001B130D" w:rsidRDefault="009014F8" w:rsidP="0078755A">
      <w:pPr>
        <w:rPr>
          <w:rFonts w:ascii="Times New Roman" w:eastAsia="Times New Roman" w:hAnsi="Times New Roman" w:cs="Times New Roman"/>
          <w:b/>
          <w:sz w:val="24"/>
          <w:szCs w:val="24"/>
        </w:rPr>
      </w:pPr>
      <w:r w:rsidRPr="001B130D">
        <w:rPr>
          <w:rFonts w:ascii="Times New Roman" w:eastAsia="Times New Roman" w:hAnsi="Times New Roman" w:cs="Times New Roman"/>
          <w:b/>
          <w:sz w:val="24"/>
          <w:szCs w:val="24"/>
        </w:rPr>
        <w:t>Solvency Ratios</w:t>
      </w:r>
    </w:p>
    <w:p w:rsidR="008D6CE9" w:rsidRPr="001B130D" w:rsidRDefault="008D6CE9" w:rsidP="008D6CE9">
      <w:pPr>
        <w:rPr>
          <w:rFonts w:ascii="Times New Roman" w:eastAsia="Times New Roman" w:hAnsi="Times New Roman" w:cs="Times New Roman"/>
          <w:b/>
          <w:bCs/>
          <w:i/>
          <w:sz w:val="24"/>
          <w:szCs w:val="24"/>
        </w:rPr>
      </w:pPr>
      <w:r w:rsidRPr="001B130D">
        <w:rPr>
          <w:rFonts w:ascii="Times New Roman" w:eastAsia="Times New Roman" w:hAnsi="Times New Roman" w:cs="Times New Roman"/>
          <w:b/>
          <w:bCs/>
          <w:i/>
          <w:sz w:val="24"/>
          <w:szCs w:val="24"/>
        </w:rPr>
        <w:t>Debt Equity Ratio</w:t>
      </w:r>
    </w:p>
    <w:p w:rsidR="0078755A" w:rsidRPr="001B130D" w:rsidRDefault="0078755A" w:rsidP="0078755A">
      <w:pPr>
        <w:rPr>
          <w:rFonts w:ascii="Times New Roman" w:eastAsia="Times New Roman" w:hAnsi="Times New Roman" w:cs="Times New Roman"/>
          <w:sz w:val="24"/>
          <w:szCs w:val="24"/>
        </w:rPr>
      </w:pPr>
    </w:p>
    <w:tbl>
      <w:tblPr>
        <w:tblStyle w:val="TableGrid"/>
        <w:tblW w:w="0" w:type="auto"/>
        <w:tblLook w:val="04A0"/>
      </w:tblPr>
      <w:tblGrid>
        <w:gridCol w:w="1880"/>
        <w:gridCol w:w="1243"/>
        <w:gridCol w:w="855"/>
        <w:gridCol w:w="1080"/>
        <w:gridCol w:w="997"/>
        <w:gridCol w:w="1073"/>
        <w:gridCol w:w="1350"/>
      </w:tblGrid>
      <w:tr w:rsidR="00983493" w:rsidRPr="001B130D" w:rsidTr="00983493">
        <w:trPr>
          <w:trHeight w:val="660"/>
        </w:trPr>
        <w:tc>
          <w:tcPr>
            <w:tcW w:w="1880" w:type="dxa"/>
            <w:noWrap/>
            <w:hideMark/>
          </w:tcPr>
          <w:p w:rsidR="00983493" w:rsidRPr="001B130D" w:rsidRDefault="00983493">
            <w:pPr>
              <w:rPr>
                <w:rFonts w:ascii="Times New Roman" w:eastAsia="Times New Roman" w:hAnsi="Times New Roman" w:cs="Times New Roman"/>
                <w:sz w:val="24"/>
                <w:szCs w:val="24"/>
              </w:rPr>
            </w:pPr>
          </w:p>
        </w:tc>
        <w:tc>
          <w:tcPr>
            <w:tcW w:w="1243" w:type="dxa"/>
            <w:hideMark/>
          </w:tcPr>
          <w:p w:rsidR="00983493" w:rsidRPr="001B130D" w:rsidRDefault="00983493" w:rsidP="00983493">
            <w:pPr>
              <w:rPr>
                <w:rFonts w:ascii="Times New Roman" w:eastAsia="Times New Roman" w:hAnsi="Times New Roman" w:cs="Times New Roman"/>
                <w:b/>
                <w:bCs/>
                <w:sz w:val="24"/>
                <w:szCs w:val="24"/>
              </w:rPr>
            </w:pPr>
            <w:r w:rsidRPr="001B130D">
              <w:rPr>
                <w:rFonts w:ascii="Times New Roman" w:eastAsia="Times New Roman" w:hAnsi="Times New Roman" w:cs="Times New Roman"/>
                <w:b/>
                <w:bCs/>
                <w:sz w:val="24"/>
                <w:szCs w:val="24"/>
              </w:rPr>
              <w:t>2020</w:t>
            </w:r>
          </w:p>
        </w:tc>
        <w:tc>
          <w:tcPr>
            <w:tcW w:w="855" w:type="dxa"/>
            <w:hideMark/>
          </w:tcPr>
          <w:p w:rsidR="00983493" w:rsidRPr="001B130D" w:rsidRDefault="00983493" w:rsidP="00983493">
            <w:pPr>
              <w:rPr>
                <w:rFonts w:ascii="Times New Roman" w:eastAsia="Times New Roman" w:hAnsi="Times New Roman" w:cs="Times New Roman"/>
                <w:b/>
                <w:bCs/>
                <w:sz w:val="24"/>
                <w:szCs w:val="24"/>
              </w:rPr>
            </w:pPr>
            <w:r w:rsidRPr="001B130D">
              <w:rPr>
                <w:rFonts w:ascii="Times New Roman" w:eastAsia="Times New Roman" w:hAnsi="Times New Roman" w:cs="Times New Roman"/>
                <w:b/>
                <w:bCs/>
                <w:sz w:val="24"/>
                <w:szCs w:val="24"/>
              </w:rPr>
              <w:t>2019</w:t>
            </w:r>
          </w:p>
        </w:tc>
        <w:tc>
          <w:tcPr>
            <w:tcW w:w="1080" w:type="dxa"/>
            <w:hideMark/>
          </w:tcPr>
          <w:p w:rsidR="00983493" w:rsidRPr="001B130D" w:rsidRDefault="00983493" w:rsidP="00983493">
            <w:pPr>
              <w:rPr>
                <w:rFonts w:ascii="Times New Roman" w:eastAsia="Times New Roman" w:hAnsi="Times New Roman" w:cs="Times New Roman"/>
                <w:b/>
                <w:bCs/>
                <w:sz w:val="24"/>
                <w:szCs w:val="24"/>
              </w:rPr>
            </w:pPr>
            <w:r w:rsidRPr="001B130D">
              <w:rPr>
                <w:rFonts w:ascii="Times New Roman" w:eastAsia="Times New Roman" w:hAnsi="Times New Roman" w:cs="Times New Roman"/>
                <w:b/>
                <w:bCs/>
                <w:sz w:val="24"/>
                <w:szCs w:val="24"/>
              </w:rPr>
              <w:t>2018</w:t>
            </w:r>
          </w:p>
        </w:tc>
        <w:tc>
          <w:tcPr>
            <w:tcW w:w="997" w:type="dxa"/>
            <w:hideMark/>
          </w:tcPr>
          <w:p w:rsidR="00983493" w:rsidRPr="001B130D" w:rsidRDefault="00983493" w:rsidP="00983493">
            <w:pPr>
              <w:rPr>
                <w:rFonts w:ascii="Times New Roman" w:eastAsia="Times New Roman" w:hAnsi="Times New Roman" w:cs="Times New Roman"/>
                <w:b/>
                <w:bCs/>
                <w:sz w:val="24"/>
                <w:szCs w:val="24"/>
              </w:rPr>
            </w:pPr>
            <w:r w:rsidRPr="001B130D">
              <w:rPr>
                <w:rFonts w:ascii="Times New Roman" w:eastAsia="Times New Roman" w:hAnsi="Times New Roman" w:cs="Times New Roman"/>
                <w:b/>
                <w:bCs/>
                <w:sz w:val="24"/>
                <w:szCs w:val="24"/>
              </w:rPr>
              <w:t>2017</w:t>
            </w:r>
          </w:p>
        </w:tc>
        <w:tc>
          <w:tcPr>
            <w:tcW w:w="1073" w:type="dxa"/>
            <w:hideMark/>
          </w:tcPr>
          <w:p w:rsidR="00983493" w:rsidRPr="001B130D" w:rsidRDefault="00983493" w:rsidP="00983493">
            <w:pPr>
              <w:rPr>
                <w:rFonts w:ascii="Times New Roman" w:eastAsia="Times New Roman" w:hAnsi="Times New Roman" w:cs="Times New Roman"/>
                <w:b/>
                <w:bCs/>
                <w:sz w:val="24"/>
                <w:szCs w:val="24"/>
              </w:rPr>
            </w:pPr>
            <w:r w:rsidRPr="001B130D">
              <w:rPr>
                <w:rFonts w:ascii="Times New Roman" w:eastAsia="Times New Roman" w:hAnsi="Times New Roman" w:cs="Times New Roman"/>
                <w:b/>
                <w:bCs/>
                <w:sz w:val="24"/>
                <w:szCs w:val="24"/>
              </w:rPr>
              <w:t>2016</w:t>
            </w:r>
          </w:p>
        </w:tc>
        <w:tc>
          <w:tcPr>
            <w:tcW w:w="1350" w:type="dxa"/>
            <w:hideMark/>
          </w:tcPr>
          <w:p w:rsidR="00983493" w:rsidRPr="001B130D" w:rsidRDefault="00983493" w:rsidP="00983493">
            <w:pPr>
              <w:rPr>
                <w:rFonts w:ascii="Times New Roman" w:eastAsia="Times New Roman" w:hAnsi="Times New Roman" w:cs="Times New Roman"/>
                <w:b/>
                <w:bCs/>
                <w:sz w:val="24"/>
                <w:szCs w:val="24"/>
              </w:rPr>
            </w:pPr>
            <w:r w:rsidRPr="001B130D">
              <w:rPr>
                <w:rFonts w:ascii="Times New Roman" w:eastAsia="Times New Roman" w:hAnsi="Times New Roman" w:cs="Times New Roman"/>
                <w:b/>
                <w:bCs/>
                <w:sz w:val="24"/>
                <w:szCs w:val="24"/>
              </w:rPr>
              <w:t>2015</w:t>
            </w:r>
          </w:p>
        </w:tc>
      </w:tr>
      <w:tr w:rsidR="00983493" w:rsidRPr="001B130D" w:rsidTr="00983493">
        <w:trPr>
          <w:trHeight w:val="660"/>
        </w:trPr>
        <w:tc>
          <w:tcPr>
            <w:tcW w:w="1880" w:type="dxa"/>
            <w:hideMark/>
          </w:tcPr>
          <w:p w:rsidR="00983493" w:rsidRPr="001B130D" w:rsidRDefault="00983493">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Debt / Equity Ratio </w:t>
            </w:r>
          </w:p>
        </w:tc>
        <w:tc>
          <w:tcPr>
            <w:tcW w:w="1243" w:type="dxa"/>
            <w:hideMark/>
          </w:tcPr>
          <w:p w:rsidR="00983493" w:rsidRPr="001B130D" w:rsidRDefault="00983493" w:rsidP="00983493">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0.51</w:t>
            </w:r>
          </w:p>
        </w:tc>
        <w:tc>
          <w:tcPr>
            <w:tcW w:w="855" w:type="dxa"/>
            <w:hideMark/>
          </w:tcPr>
          <w:p w:rsidR="00983493" w:rsidRPr="001B130D" w:rsidRDefault="00983493" w:rsidP="00983493">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0.45</w:t>
            </w:r>
          </w:p>
        </w:tc>
        <w:tc>
          <w:tcPr>
            <w:tcW w:w="1080" w:type="dxa"/>
            <w:hideMark/>
          </w:tcPr>
          <w:p w:rsidR="00983493" w:rsidRPr="001B130D" w:rsidRDefault="00983493" w:rsidP="00983493">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0.45</w:t>
            </w:r>
          </w:p>
        </w:tc>
        <w:tc>
          <w:tcPr>
            <w:tcW w:w="997" w:type="dxa"/>
            <w:hideMark/>
          </w:tcPr>
          <w:p w:rsidR="00983493" w:rsidRPr="001B130D" w:rsidRDefault="00983493" w:rsidP="00983493">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0.47</w:t>
            </w:r>
          </w:p>
        </w:tc>
        <w:tc>
          <w:tcPr>
            <w:tcW w:w="1073" w:type="dxa"/>
            <w:hideMark/>
          </w:tcPr>
          <w:p w:rsidR="00983493" w:rsidRPr="001B130D" w:rsidRDefault="00983493" w:rsidP="00983493">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0.41</w:t>
            </w:r>
          </w:p>
        </w:tc>
        <w:tc>
          <w:tcPr>
            <w:tcW w:w="1350" w:type="dxa"/>
            <w:hideMark/>
          </w:tcPr>
          <w:p w:rsidR="00983493" w:rsidRPr="001B130D" w:rsidRDefault="00983493" w:rsidP="00983493">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0.39</w:t>
            </w:r>
          </w:p>
        </w:tc>
      </w:tr>
      <w:tr w:rsidR="00983493" w:rsidRPr="001B130D" w:rsidTr="00983493">
        <w:trPr>
          <w:trHeight w:val="330"/>
        </w:trPr>
        <w:tc>
          <w:tcPr>
            <w:tcW w:w="1880" w:type="dxa"/>
            <w:hideMark/>
          </w:tcPr>
          <w:p w:rsidR="00983493" w:rsidRPr="001B130D" w:rsidRDefault="00983493">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Debt / FCF Ratio </w:t>
            </w:r>
          </w:p>
        </w:tc>
        <w:tc>
          <w:tcPr>
            <w:tcW w:w="1243" w:type="dxa"/>
            <w:hideMark/>
          </w:tcPr>
          <w:p w:rsidR="00983493" w:rsidRPr="001B130D" w:rsidRDefault="00983493" w:rsidP="00983493">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41.57</w:t>
            </w:r>
          </w:p>
        </w:tc>
        <w:tc>
          <w:tcPr>
            <w:tcW w:w="855" w:type="dxa"/>
            <w:hideMark/>
          </w:tcPr>
          <w:p w:rsidR="00983493" w:rsidRPr="001B130D" w:rsidRDefault="00983493" w:rsidP="00983493">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27.64</w:t>
            </w:r>
          </w:p>
        </w:tc>
        <w:tc>
          <w:tcPr>
            <w:tcW w:w="1080" w:type="dxa"/>
            <w:hideMark/>
          </w:tcPr>
          <w:p w:rsidR="00983493" w:rsidRPr="001B130D" w:rsidRDefault="00983493" w:rsidP="00983493">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11.43</w:t>
            </w:r>
          </w:p>
        </w:tc>
        <w:tc>
          <w:tcPr>
            <w:tcW w:w="997" w:type="dxa"/>
            <w:hideMark/>
          </w:tcPr>
          <w:p w:rsidR="00983493" w:rsidRPr="001B130D" w:rsidRDefault="00983493" w:rsidP="00983493">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392.43</w:t>
            </w:r>
          </w:p>
        </w:tc>
        <w:tc>
          <w:tcPr>
            <w:tcW w:w="1073" w:type="dxa"/>
            <w:hideMark/>
          </w:tcPr>
          <w:p w:rsidR="00983493" w:rsidRPr="001B130D" w:rsidRDefault="00983493" w:rsidP="00983493">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-23.98</w:t>
            </w:r>
          </w:p>
        </w:tc>
        <w:tc>
          <w:tcPr>
            <w:tcW w:w="1350" w:type="dxa"/>
            <w:hideMark/>
          </w:tcPr>
          <w:p w:rsidR="00983493" w:rsidRPr="001B130D" w:rsidRDefault="00983493" w:rsidP="00983493">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-3.81</w:t>
            </w:r>
          </w:p>
        </w:tc>
      </w:tr>
    </w:tbl>
    <w:p w:rsidR="008D6CE9" w:rsidRPr="001B130D" w:rsidRDefault="00983493" w:rsidP="0078755A">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The trend shows Debt / Equity Ratio increase in 2020 after a steady level from 2016 to 2019.  This can be attributed to the hard financial times in the year 2020 which caused the company to borrow more. </w:t>
      </w:r>
    </w:p>
    <w:p w:rsidR="008D6CE9" w:rsidRPr="001B130D" w:rsidRDefault="008D6CE9" w:rsidP="0078755A">
      <w:pPr>
        <w:rPr>
          <w:rFonts w:ascii="Times New Roman" w:eastAsia="Times New Roman" w:hAnsi="Times New Roman" w:cs="Times New Roman"/>
          <w:b/>
          <w:i/>
          <w:sz w:val="24"/>
          <w:szCs w:val="24"/>
        </w:rPr>
      </w:pPr>
      <w:r w:rsidRPr="001B130D">
        <w:rPr>
          <w:rFonts w:ascii="Times New Roman" w:eastAsia="Times New Roman" w:hAnsi="Times New Roman" w:cs="Times New Roman"/>
          <w:b/>
          <w:i/>
          <w:sz w:val="24"/>
          <w:szCs w:val="24"/>
        </w:rPr>
        <w:t>Financial Leverage</w:t>
      </w:r>
    </w:p>
    <w:tbl>
      <w:tblPr>
        <w:tblW w:w="7860" w:type="dxa"/>
        <w:tblInd w:w="93" w:type="dxa"/>
        <w:tblLook w:val="04A0"/>
      </w:tblPr>
      <w:tblGrid>
        <w:gridCol w:w="2100"/>
        <w:gridCol w:w="960"/>
        <w:gridCol w:w="960"/>
        <w:gridCol w:w="960"/>
        <w:gridCol w:w="960"/>
        <w:gridCol w:w="960"/>
        <w:gridCol w:w="960"/>
      </w:tblGrid>
      <w:tr w:rsidR="00983493" w:rsidRPr="001B130D" w:rsidTr="00983493">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2020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2019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2018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2017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2016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2015</w:t>
            </w:r>
          </w:p>
        </w:tc>
      </w:tr>
      <w:tr w:rsidR="00983493" w:rsidRPr="001B130D" w:rsidTr="00983493">
        <w:trPr>
          <w:trHeight w:val="300"/>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 xml:space="preserve">Total Assets </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17,956</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20,245</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21,321</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22,012</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31,094</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32,311</w:t>
            </w:r>
          </w:p>
        </w:tc>
      </w:tr>
      <w:tr w:rsidR="00983493" w:rsidRPr="001B130D" w:rsidTr="00983493">
        <w:trPr>
          <w:trHeight w:val="300"/>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rPr>
                <w:rFonts w:ascii="Times New Roman" w:eastAsia="Times New Roman" w:hAnsi="Times New Roman" w:cs="Times New Roman"/>
                <w:b/>
                <w:bCs/>
                <w:color w:val="000000"/>
                <w:sz w:val="24"/>
                <w:szCs w:val="24"/>
              </w:rPr>
            </w:pPr>
            <w:r w:rsidRPr="001B130D">
              <w:rPr>
                <w:rFonts w:ascii="Times New Roman" w:eastAsia="Times New Roman" w:hAnsi="Times New Roman" w:cs="Times New Roman"/>
                <w:b/>
                <w:bCs/>
                <w:color w:val="000000"/>
                <w:sz w:val="24"/>
                <w:szCs w:val="24"/>
              </w:rPr>
              <w:t xml:space="preserve">Shareholders' Equity </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10,561</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12,153</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12,128</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11,708</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17,541</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18,553</w:t>
            </w:r>
          </w:p>
        </w:tc>
      </w:tr>
      <w:tr w:rsidR="00983493" w:rsidRPr="001B130D" w:rsidTr="00983493">
        <w:trPr>
          <w:trHeight w:val="300"/>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Total Assets/Equity</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1.70 </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1.67 </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1.76 </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1.88 </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1.77 </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1B130D" w:rsidRDefault="00983493" w:rsidP="00983493">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1.74 </w:t>
            </w:r>
          </w:p>
        </w:tc>
      </w:tr>
    </w:tbl>
    <w:p w:rsidR="008D6CE9" w:rsidRPr="001B130D" w:rsidRDefault="008D6CE9" w:rsidP="0078755A">
      <w:pPr>
        <w:rPr>
          <w:rFonts w:ascii="Times New Roman" w:eastAsia="Times New Roman" w:hAnsi="Times New Roman" w:cs="Times New Roman"/>
          <w:sz w:val="24"/>
          <w:szCs w:val="24"/>
        </w:rPr>
      </w:pPr>
    </w:p>
    <w:p w:rsidR="008D6CE9" w:rsidRPr="001B130D" w:rsidRDefault="00AC6B39" w:rsidP="0078755A">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The Financial Leverage refers to the debt a firm uses to finance its assets. The Financial Leverage for MRO remains steady near 1.7.  This average ratio is relatively high and can be considered a risky level by potential investors and lenders. </w:t>
      </w:r>
    </w:p>
    <w:p w:rsidR="00336C07" w:rsidRPr="001B130D" w:rsidRDefault="00336C07" w:rsidP="00336C07">
      <w:pPr>
        <w:rPr>
          <w:rFonts w:ascii="Times New Roman" w:eastAsia="Times New Roman" w:hAnsi="Times New Roman" w:cs="Times New Roman"/>
          <w:b/>
          <w:sz w:val="24"/>
          <w:szCs w:val="24"/>
        </w:rPr>
      </w:pPr>
      <w:r w:rsidRPr="001B130D">
        <w:rPr>
          <w:rFonts w:ascii="Times New Roman" w:eastAsia="Times New Roman" w:hAnsi="Times New Roman" w:cs="Times New Roman"/>
          <w:b/>
          <w:sz w:val="24"/>
          <w:szCs w:val="24"/>
        </w:rPr>
        <w:lastRenderedPageBreak/>
        <w:t>Valuation for Marathon Oil Corporation</w:t>
      </w:r>
    </w:p>
    <w:p w:rsidR="00336C07" w:rsidRPr="001B130D" w:rsidRDefault="00336C07" w:rsidP="00336C07">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Discounted Cash Flow Model</w:t>
      </w:r>
      <w:r w:rsidRPr="001B130D">
        <w:rPr>
          <w:rFonts w:ascii="Times New Roman" w:hAnsi="Times New Roman" w:cs="Times New Roman"/>
          <w:sz w:val="24"/>
          <w:szCs w:val="24"/>
        </w:rPr>
        <w:t xml:space="preserve"> </w:t>
      </w:r>
      <w:r w:rsidRPr="001B130D">
        <w:rPr>
          <w:rFonts w:ascii="Times New Roman" w:eastAsia="Times New Roman" w:hAnsi="Times New Roman" w:cs="Times New Roman"/>
          <w:sz w:val="24"/>
          <w:szCs w:val="24"/>
        </w:rPr>
        <w:t>Calculation</w:t>
      </w:r>
    </w:p>
    <w:p w:rsidR="00AC6B39" w:rsidRPr="001B130D" w:rsidRDefault="00336C07" w:rsidP="00336C07">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The DCF Value is calculated by forecasting or estimating future free cash flow and discounting the same at selected Discount Rate as in the table below. The calculation </w:t>
      </w:r>
      <w:r w:rsidR="00864178" w:rsidRPr="001B130D">
        <w:rPr>
          <w:rFonts w:ascii="Times New Roman" w:eastAsia="Times New Roman" w:hAnsi="Times New Roman" w:cs="Times New Roman"/>
          <w:sz w:val="24"/>
          <w:szCs w:val="24"/>
        </w:rPr>
        <w:t>uses a</w:t>
      </w:r>
      <w:r w:rsidRPr="001B130D">
        <w:rPr>
          <w:rFonts w:ascii="Times New Roman" w:eastAsia="Times New Roman" w:hAnsi="Times New Roman" w:cs="Times New Roman"/>
          <w:sz w:val="24"/>
          <w:szCs w:val="24"/>
        </w:rPr>
        <w:t xml:space="preserve"> Discount Rate of 7.80</w:t>
      </w:r>
      <w:r w:rsidR="00D63DE6" w:rsidRPr="001B130D">
        <w:rPr>
          <w:rFonts w:ascii="Times New Roman" w:eastAsia="Times New Roman" w:hAnsi="Times New Roman" w:cs="Times New Roman"/>
          <w:sz w:val="24"/>
          <w:szCs w:val="24"/>
        </w:rPr>
        <w:t>% and</w:t>
      </w:r>
      <w:r w:rsidR="004C32E6" w:rsidRPr="001B130D">
        <w:rPr>
          <w:rFonts w:ascii="Times New Roman" w:eastAsia="Times New Roman" w:hAnsi="Times New Roman" w:cs="Times New Roman"/>
          <w:sz w:val="24"/>
          <w:szCs w:val="24"/>
        </w:rPr>
        <w:t xml:space="preserve"> 10% </w:t>
      </w:r>
      <w:r w:rsidRPr="001B130D">
        <w:rPr>
          <w:rFonts w:ascii="Times New Roman" w:eastAsia="Times New Roman" w:hAnsi="Times New Roman" w:cs="Times New Roman"/>
          <w:sz w:val="24"/>
          <w:szCs w:val="24"/>
        </w:rPr>
        <w:t xml:space="preserve">to show present values and the </w:t>
      </w:r>
      <w:r w:rsidR="00864178" w:rsidRPr="001B130D">
        <w:rPr>
          <w:rFonts w:ascii="Times New Roman" w:eastAsia="Times New Roman" w:hAnsi="Times New Roman" w:cs="Times New Roman"/>
          <w:sz w:val="24"/>
          <w:szCs w:val="24"/>
        </w:rPr>
        <w:t>rate can be adjusted to show sensitivity</w:t>
      </w:r>
    </w:p>
    <w:tbl>
      <w:tblPr>
        <w:tblW w:w="9735" w:type="dxa"/>
        <w:tblInd w:w="93" w:type="dxa"/>
        <w:tblLook w:val="04A0"/>
      </w:tblPr>
      <w:tblGrid>
        <w:gridCol w:w="2419"/>
        <w:gridCol w:w="1310"/>
        <w:gridCol w:w="1310"/>
        <w:gridCol w:w="1310"/>
        <w:gridCol w:w="1310"/>
        <w:gridCol w:w="1310"/>
        <w:gridCol w:w="1346"/>
      </w:tblGrid>
      <w:tr w:rsidR="00095B81" w:rsidRPr="001B130D" w:rsidTr="00095B81">
        <w:trPr>
          <w:trHeight w:val="300"/>
        </w:trPr>
        <w:tc>
          <w:tcPr>
            <w:tcW w:w="24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12/31/2021</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12/31/2022</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12/31/2023</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12/31/2024</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12/31/2025</w:t>
            </w:r>
          </w:p>
        </w:tc>
        <w:tc>
          <w:tcPr>
            <w:tcW w:w="1346" w:type="dxa"/>
            <w:tcBorders>
              <w:top w:val="single" w:sz="4" w:space="0" w:color="auto"/>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Terminal </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forecasted</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forecasted</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forecasted</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forecasted</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forecasted</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forecasted</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NET INCOME</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Revenue</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4,893</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5,030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4,662</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4,811</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4,940</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5,045</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Net Margin</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16.44%</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18.31%</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15.84%</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16.37%</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16.91%</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17.44%</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Net Income</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804</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921</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738</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788</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835</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880</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FREE CASH FLOW TO EQUITY</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Net </w:t>
            </w:r>
            <w:proofErr w:type="spellStart"/>
            <w:r w:rsidRPr="001B130D">
              <w:rPr>
                <w:rFonts w:ascii="Times New Roman" w:eastAsia="Times New Roman" w:hAnsi="Times New Roman" w:cs="Times New Roman"/>
                <w:color w:val="000000"/>
                <w:sz w:val="24"/>
                <w:szCs w:val="24"/>
              </w:rPr>
              <w:t>CapEx</w:t>
            </w:r>
            <w:proofErr w:type="spellEnd"/>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917</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851</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703</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638</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565</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485</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Debt Ratio</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50.66%</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50.66%</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50.66%</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50.66%</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50.66%</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50.66%</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Net </w:t>
            </w:r>
            <w:proofErr w:type="spellStart"/>
            <w:r w:rsidRPr="001B130D">
              <w:rPr>
                <w:rFonts w:ascii="Times New Roman" w:eastAsia="Times New Roman" w:hAnsi="Times New Roman" w:cs="Times New Roman"/>
                <w:color w:val="000000"/>
                <w:sz w:val="24"/>
                <w:szCs w:val="24"/>
              </w:rPr>
              <w:t>CapEx</w:t>
            </w:r>
            <w:proofErr w:type="spellEnd"/>
            <w:r w:rsidRPr="001B130D">
              <w:rPr>
                <w:rFonts w:ascii="Times New Roman" w:eastAsia="Times New Roman" w:hAnsi="Times New Roman" w:cs="Times New Roman"/>
                <w:color w:val="000000"/>
                <w:sz w:val="24"/>
                <w:szCs w:val="24"/>
              </w:rPr>
              <w:t xml:space="preserve"> Financed by Equity</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452</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420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347</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315</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279</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239</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FCFE</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1,257</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1,341</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1,085</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1,102</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1,114</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1,119</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PRESENT VALUE</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Discount Rate</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7.80%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7.80%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7.80%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7.80%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7.80%</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7.80%</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Present Value (7.8%)</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1,166</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1,154</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866</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816</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765</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9,855</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Discount Rate</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10.00%</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10.00%</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Discount factor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0.91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0.83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0.75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0.68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0.62 </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w:t>
            </w:r>
          </w:p>
        </w:tc>
      </w:tr>
      <w:tr w:rsidR="00095B81" w:rsidRPr="001B130D"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Present Value (10%)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1,142.73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1,108.26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815.18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752.68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691.71 </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1B130D" w:rsidRDefault="00095B81" w:rsidP="00095B81">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     4,510.56 </w:t>
            </w:r>
          </w:p>
        </w:tc>
      </w:tr>
    </w:tbl>
    <w:p w:rsidR="00626D78" w:rsidRPr="001B130D" w:rsidRDefault="00626D78" w:rsidP="00626D78">
      <w:pPr>
        <w:rPr>
          <w:rFonts w:ascii="Times New Roman" w:eastAsia="Times New Roman" w:hAnsi="Times New Roman" w:cs="Times New Roman"/>
          <w:sz w:val="24"/>
          <w:szCs w:val="24"/>
        </w:rPr>
      </w:pPr>
    </w:p>
    <w:p w:rsidR="00626D78" w:rsidRPr="001B130D" w:rsidRDefault="00626D78" w:rsidP="00626D78">
      <w:pPr>
        <w:rPr>
          <w:rFonts w:ascii="Times New Roman" w:eastAsia="Times New Roman" w:hAnsi="Times New Roman" w:cs="Times New Roman"/>
          <w:b/>
          <w:bCs/>
          <w:sz w:val="24"/>
          <w:szCs w:val="24"/>
        </w:rPr>
      </w:pPr>
      <w:r w:rsidRPr="001B130D">
        <w:rPr>
          <w:rFonts w:ascii="Times New Roman" w:eastAsia="Times New Roman" w:hAnsi="Times New Roman" w:cs="Times New Roman"/>
          <w:b/>
          <w:bCs/>
          <w:sz w:val="24"/>
          <w:szCs w:val="24"/>
        </w:rPr>
        <w:t>Marathon Valuation Trend</w:t>
      </w:r>
    </w:p>
    <w:p w:rsidR="00626D78" w:rsidRPr="001B130D" w:rsidRDefault="00EC411F" w:rsidP="00D63DE6">
      <w:pPr>
        <w:ind w:firstLine="720"/>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Investors need to know Marathon Oil's actual value</w:t>
      </w:r>
      <w:r w:rsidR="00626D78" w:rsidRPr="001B130D">
        <w:rPr>
          <w:rFonts w:ascii="Times New Roman" w:eastAsia="Times New Roman" w:hAnsi="Times New Roman" w:cs="Times New Roman"/>
          <w:sz w:val="24"/>
          <w:szCs w:val="24"/>
        </w:rPr>
        <w:t xml:space="preserve"> for </w:t>
      </w:r>
      <w:r w:rsidRPr="001B130D">
        <w:rPr>
          <w:rFonts w:ascii="Times New Roman" w:eastAsia="Times New Roman" w:hAnsi="Times New Roman" w:cs="Times New Roman"/>
          <w:sz w:val="24"/>
          <w:szCs w:val="24"/>
        </w:rPr>
        <w:t xml:space="preserve">then </w:t>
      </w:r>
      <w:r w:rsidR="00626D78" w:rsidRPr="001B130D">
        <w:rPr>
          <w:rFonts w:ascii="Times New Roman" w:eastAsia="Times New Roman" w:hAnsi="Times New Roman" w:cs="Times New Roman"/>
          <w:sz w:val="24"/>
          <w:szCs w:val="24"/>
        </w:rPr>
        <w:t xml:space="preserve">to make sound investment </w:t>
      </w:r>
      <w:r w:rsidRPr="001B130D">
        <w:rPr>
          <w:rFonts w:ascii="Times New Roman" w:eastAsia="Times New Roman" w:hAnsi="Times New Roman" w:cs="Times New Roman"/>
          <w:sz w:val="24"/>
          <w:szCs w:val="24"/>
        </w:rPr>
        <w:t>decisions</w:t>
      </w:r>
      <w:r w:rsidR="00626D78" w:rsidRPr="001B130D">
        <w:rPr>
          <w:rFonts w:ascii="Times New Roman" w:eastAsia="Times New Roman" w:hAnsi="Times New Roman" w:cs="Times New Roman"/>
          <w:sz w:val="24"/>
          <w:szCs w:val="24"/>
        </w:rPr>
        <w:t xml:space="preserve">. </w:t>
      </w:r>
      <w:r w:rsidRPr="001B130D">
        <w:rPr>
          <w:rFonts w:ascii="Times New Roman" w:eastAsia="Times New Roman" w:hAnsi="Times New Roman" w:cs="Times New Roman"/>
          <w:sz w:val="24"/>
          <w:szCs w:val="24"/>
        </w:rPr>
        <w:t xml:space="preserve">The </w:t>
      </w:r>
      <w:r w:rsidR="00626D78" w:rsidRPr="001B130D">
        <w:rPr>
          <w:rFonts w:ascii="Times New Roman" w:eastAsia="Times New Roman" w:hAnsi="Times New Roman" w:cs="Times New Roman"/>
          <w:sz w:val="24"/>
          <w:szCs w:val="24"/>
        </w:rPr>
        <w:t xml:space="preserve">real value </w:t>
      </w:r>
      <w:r w:rsidRPr="001B130D">
        <w:rPr>
          <w:rFonts w:ascii="Times New Roman" w:eastAsia="Times New Roman" w:hAnsi="Times New Roman" w:cs="Times New Roman"/>
          <w:sz w:val="24"/>
          <w:szCs w:val="24"/>
        </w:rPr>
        <w:t xml:space="preserve">provides </w:t>
      </w:r>
      <w:r w:rsidR="00626D78" w:rsidRPr="001B130D">
        <w:rPr>
          <w:rFonts w:ascii="Times New Roman" w:eastAsia="Times New Roman" w:hAnsi="Times New Roman" w:cs="Times New Roman"/>
          <w:sz w:val="24"/>
          <w:szCs w:val="24"/>
        </w:rPr>
        <w:t xml:space="preserve">a more accurate </w:t>
      </w:r>
      <w:r w:rsidRPr="001B130D">
        <w:rPr>
          <w:rFonts w:ascii="Times New Roman" w:eastAsia="Times New Roman" w:hAnsi="Times New Roman" w:cs="Times New Roman"/>
          <w:sz w:val="24"/>
          <w:szCs w:val="24"/>
        </w:rPr>
        <w:t>general</w:t>
      </w:r>
      <w:r w:rsidR="00626D78" w:rsidRPr="001B130D">
        <w:rPr>
          <w:rFonts w:ascii="Times New Roman" w:eastAsia="Times New Roman" w:hAnsi="Times New Roman" w:cs="Times New Roman"/>
          <w:sz w:val="24"/>
          <w:szCs w:val="24"/>
        </w:rPr>
        <w:t xml:space="preserve"> view of </w:t>
      </w:r>
      <w:r w:rsidRPr="001B130D">
        <w:rPr>
          <w:rFonts w:ascii="Times New Roman" w:eastAsia="Times New Roman" w:hAnsi="Times New Roman" w:cs="Times New Roman"/>
          <w:sz w:val="24"/>
          <w:szCs w:val="24"/>
        </w:rPr>
        <w:t>the company</w:t>
      </w:r>
      <w:r w:rsidR="00626D78" w:rsidRPr="001B130D">
        <w:rPr>
          <w:rFonts w:ascii="Times New Roman" w:eastAsia="Times New Roman" w:hAnsi="Times New Roman" w:cs="Times New Roman"/>
          <w:sz w:val="24"/>
          <w:szCs w:val="24"/>
        </w:rPr>
        <w:t>'s financial worth over</w:t>
      </w:r>
      <w:r w:rsidRPr="001B130D">
        <w:rPr>
          <w:rFonts w:ascii="Times New Roman" w:eastAsia="Times New Roman" w:hAnsi="Times New Roman" w:cs="Times New Roman"/>
          <w:sz w:val="24"/>
          <w:szCs w:val="24"/>
        </w:rPr>
        <w:t xml:space="preserve"> a specified period of</w:t>
      </w:r>
      <w:r w:rsidR="00626D78" w:rsidRPr="001B130D">
        <w:rPr>
          <w:rFonts w:ascii="Times New Roman" w:eastAsia="Times New Roman" w:hAnsi="Times New Roman" w:cs="Times New Roman"/>
          <w:sz w:val="24"/>
          <w:szCs w:val="24"/>
        </w:rPr>
        <w:t xml:space="preserve"> time </w:t>
      </w:r>
      <w:r w:rsidRPr="001B130D">
        <w:rPr>
          <w:rFonts w:ascii="Times New Roman" w:eastAsia="Times New Roman" w:hAnsi="Times New Roman" w:cs="Times New Roman"/>
          <w:sz w:val="24"/>
          <w:szCs w:val="24"/>
        </w:rPr>
        <w:t>because such information</w:t>
      </w:r>
      <w:r w:rsidR="00626D78" w:rsidRPr="001B130D">
        <w:rPr>
          <w:rFonts w:ascii="Times New Roman" w:eastAsia="Times New Roman" w:hAnsi="Times New Roman" w:cs="Times New Roman"/>
          <w:sz w:val="24"/>
          <w:szCs w:val="24"/>
        </w:rPr>
        <w:t xml:space="preserve"> </w:t>
      </w:r>
      <w:r w:rsidRPr="001B130D">
        <w:rPr>
          <w:rFonts w:ascii="Times New Roman" w:eastAsia="Times New Roman" w:hAnsi="Times New Roman" w:cs="Times New Roman"/>
          <w:sz w:val="24"/>
          <w:szCs w:val="24"/>
        </w:rPr>
        <w:t>allows</w:t>
      </w:r>
      <w:r w:rsidRPr="001B130D">
        <w:rPr>
          <w:rFonts w:ascii="Times New Roman" w:hAnsi="Times New Roman" w:cs="Times New Roman"/>
          <w:sz w:val="24"/>
          <w:szCs w:val="24"/>
        </w:rPr>
        <w:t xml:space="preserve"> </w:t>
      </w:r>
      <w:r w:rsidRPr="001B130D">
        <w:rPr>
          <w:rFonts w:ascii="Times New Roman" w:eastAsia="Times New Roman" w:hAnsi="Times New Roman" w:cs="Times New Roman"/>
          <w:sz w:val="24"/>
          <w:szCs w:val="24"/>
        </w:rPr>
        <w:t>analysts and</w:t>
      </w:r>
      <w:r w:rsidR="00626D78" w:rsidRPr="001B130D">
        <w:rPr>
          <w:rFonts w:ascii="Times New Roman" w:eastAsia="Times New Roman" w:hAnsi="Times New Roman" w:cs="Times New Roman"/>
          <w:sz w:val="24"/>
          <w:szCs w:val="24"/>
        </w:rPr>
        <w:t xml:space="preserve"> investors to forecast earnings more </w:t>
      </w:r>
      <w:r w:rsidRPr="001B130D">
        <w:rPr>
          <w:rFonts w:ascii="Times New Roman" w:eastAsia="Times New Roman" w:hAnsi="Times New Roman" w:cs="Times New Roman"/>
          <w:sz w:val="24"/>
          <w:szCs w:val="24"/>
        </w:rPr>
        <w:t xml:space="preserve">effectively and </w:t>
      </w:r>
      <w:r w:rsidR="00626D78" w:rsidRPr="001B130D">
        <w:rPr>
          <w:rFonts w:ascii="Times New Roman" w:eastAsia="Times New Roman" w:hAnsi="Times New Roman" w:cs="Times New Roman"/>
          <w:sz w:val="24"/>
          <w:szCs w:val="24"/>
        </w:rPr>
        <w:t xml:space="preserve">efficiently. </w:t>
      </w:r>
      <w:r w:rsidRPr="001B130D">
        <w:rPr>
          <w:rFonts w:ascii="Times New Roman" w:eastAsia="Times New Roman" w:hAnsi="Times New Roman" w:cs="Times New Roman"/>
          <w:sz w:val="24"/>
          <w:szCs w:val="24"/>
        </w:rPr>
        <w:t xml:space="preserve">The use of market capitalization and </w:t>
      </w:r>
      <w:r w:rsidR="00626D78" w:rsidRPr="001B130D">
        <w:rPr>
          <w:rFonts w:ascii="Times New Roman" w:eastAsia="Times New Roman" w:hAnsi="Times New Roman" w:cs="Times New Roman"/>
          <w:sz w:val="24"/>
          <w:szCs w:val="24"/>
        </w:rPr>
        <w:t xml:space="preserve">enterprise value </w:t>
      </w:r>
      <w:r w:rsidR="00095B81" w:rsidRPr="001B130D">
        <w:rPr>
          <w:rFonts w:ascii="Times New Roman" w:eastAsia="Times New Roman" w:hAnsi="Times New Roman" w:cs="Times New Roman"/>
          <w:sz w:val="24"/>
          <w:szCs w:val="24"/>
        </w:rPr>
        <w:t xml:space="preserve">provide a good </w:t>
      </w:r>
      <w:r w:rsidR="00626D78" w:rsidRPr="001B130D">
        <w:rPr>
          <w:rFonts w:ascii="Times New Roman" w:eastAsia="Times New Roman" w:hAnsi="Times New Roman" w:cs="Times New Roman"/>
          <w:sz w:val="24"/>
          <w:szCs w:val="24"/>
        </w:rPr>
        <w:t>way to gaug</w:t>
      </w:r>
      <w:r w:rsidR="00095B81" w:rsidRPr="001B130D">
        <w:rPr>
          <w:rFonts w:ascii="Times New Roman" w:eastAsia="Times New Roman" w:hAnsi="Times New Roman" w:cs="Times New Roman"/>
          <w:sz w:val="24"/>
          <w:szCs w:val="24"/>
        </w:rPr>
        <w:t xml:space="preserve">e </w:t>
      </w:r>
      <w:r w:rsidR="00626D78" w:rsidRPr="001B130D">
        <w:rPr>
          <w:rFonts w:ascii="Times New Roman" w:eastAsia="Times New Roman" w:hAnsi="Times New Roman" w:cs="Times New Roman"/>
          <w:sz w:val="24"/>
          <w:szCs w:val="24"/>
        </w:rPr>
        <w:t xml:space="preserve">the </w:t>
      </w:r>
      <w:r w:rsidR="00095B81" w:rsidRPr="001B130D">
        <w:rPr>
          <w:rFonts w:ascii="Times New Roman" w:eastAsia="Times New Roman" w:hAnsi="Times New Roman" w:cs="Times New Roman"/>
          <w:sz w:val="24"/>
          <w:szCs w:val="24"/>
        </w:rPr>
        <w:t xml:space="preserve">company’s </w:t>
      </w:r>
      <w:r w:rsidR="00626D78" w:rsidRPr="001B130D">
        <w:rPr>
          <w:rFonts w:ascii="Times New Roman" w:eastAsia="Times New Roman" w:hAnsi="Times New Roman" w:cs="Times New Roman"/>
          <w:sz w:val="24"/>
          <w:szCs w:val="24"/>
        </w:rPr>
        <w:t xml:space="preserve">value </w:t>
      </w:r>
      <w:r w:rsidR="00095B81" w:rsidRPr="001B130D">
        <w:rPr>
          <w:rFonts w:ascii="Times New Roman" w:eastAsia="Times New Roman" w:hAnsi="Times New Roman" w:cs="Times New Roman"/>
          <w:sz w:val="24"/>
          <w:szCs w:val="24"/>
        </w:rPr>
        <w:t xml:space="preserve">and for </w:t>
      </w:r>
      <w:r w:rsidR="00626D78" w:rsidRPr="001B130D">
        <w:rPr>
          <w:rFonts w:ascii="Times New Roman" w:eastAsia="Times New Roman" w:hAnsi="Times New Roman" w:cs="Times New Roman"/>
          <w:sz w:val="24"/>
          <w:szCs w:val="24"/>
        </w:rPr>
        <w:t>investors to</w:t>
      </w:r>
      <w:r w:rsidR="00095B81" w:rsidRPr="001B130D">
        <w:rPr>
          <w:rFonts w:ascii="Times New Roman" w:eastAsia="Times New Roman" w:hAnsi="Times New Roman" w:cs="Times New Roman"/>
          <w:sz w:val="24"/>
          <w:szCs w:val="24"/>
        </w:rPr>
        <w:t xml:space="preserve"> use it to</w:t>
      </w:r>
      <w:r w:rsidR="00626D78" w:rsidRPr="001B130D">
        <w:rPr>
          <w:rFonts w:ascii="Times New Roman" w:eastAsia="Times New Roman" w:hAnsi="Times New Roman" w:cs="Times New Roman"/>
          <w:sz w:val="24"/>
          <w:szCs w:val="24"/>
        </w:rPr>
        <w:t xml:space="preserve"> make </w:t>
      </w:r>
      <w:r w:rsidR="00095B81" w:rsidRPr="001B130D">
        <w:rPr>
          <w:rFonts w:ascii="Times New Roman" w:eastAsia="Times New Roman" w:hAnsi="Times New Roman" w:cs="Times New Roman"/>
          <w:sz w:val="24"/>
          <w:szCs w:val="24"/>
        </w:rPr>
        <w:t>decisions</w:t>
      </w:r>
      <w:r w:rsidR="00626D78" w:rsidRPr="001B130D">
        <w:rPr>
          <w:rFonts w:ascii="Times New Roman" w:eastAsia="Times New Roman" w:hAnsi="Times New Roman" w:cs="Times New Roman"/>
          <w:sz w:val="24"/>
          <w:szCs w:val="24"/>
        </w:rPr>
        <w:t>.</w:t>
      </w:r>
      <w:r w:rsidR="00095B81" w:rsidRPr="001B130D">
        <w:rPr>
          <w:rFonts w:ascii="Times New Roman" w:eastAsia="Times New Roman" w:hAnsi="Times New Roman" w:cs="Times New Roman"/>
          <w:sz w:val="24"/>
          <w:szCs w:val="24"/>
        </w:rPr>
        <w:t xml:space="preserve"> Graph 2 below shows Marathon Oil's actual value over a period from 2012 to 2021.</w:t>
      </w:r>
      <w:r w:rsidR="00944DDF" w:rsidRPr="001B130D">
        <w:rPr>
          <w:rFonts w:ascii="Times New Roman" w:eastAsia="Times New Roman" w:hAnsi="Times New Roman" w:cs="Times New Roman"/>
          <w:sz w:val="24"/>
          <w:szCs w:val="24"/>
        </w:rPr>
        <w:t xml:space="preserve"> The valuation has been on a down trend but with some improvements in 2020. </w:t>
      </w:r>
    </w:p>
    <w:p w:rsidR="00AC6B39" w:rsidRPr="001B130D" w:rsidRDefault="00AC6B39" w:rsidP="00626D78">
      <w:pPr>
        <w:rPr>
          <w:rFonts w:ascii="Times New Roman" w:eastAsia="Times New Roman" w:hAnsi="Times New Roman" w:cs="Times New Roman"/>
          <w:sz w:val="24"/>
          <w:szCs w:val="24"/>
        </w:rPr>
      </w:pPr>
    </w:p>
    <w:p w:rsidR="00AC6B39" w:rsidRPr="001B130D" w:rsidRDefault="00626D78" w:rsidP="0078755A">
      <w:pPr>
        <w:rPr>
          <w:rFonts w:ascii="Times New Roman" w:eastAsia="Times New Roman" w:hAnsi="Times New Roman" w:cs="Times New Roman"/>
          <w:sz w:val="24"/>
          <w:szCs w:val="24"/>
        </w:rPr>
      </w:pPr>
      <w:r w:rsidRPr="001B130D">
        <w:rPr>
          <w:rFonts w:ascii="Times New Roman" w:eastAsia="Times New Roman" w:hAnsi="Times New Roman" w:cs="Times New Roman"/>
          <w:noProof/>
          <w:sz w:val="24"/>
          <w:szCs w:val="24"/>
        </w:rPr>
        <w:lastRenderedPageBreak/>
        <w:drawing>
          <wp:inline distT="0" distB="0" distL="0" distR="0">
            <wp:extent cx="5939397" cy="419100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5943600" cy="4193966"/>
                    </a:xfrm>
                    <a:prstGeom prst="rect">
                      <a:avLst/>
                    </a:prstGeom>
                  </pic:spPr>
                </pic:pic>
              </a:graphicData>
            </a:graphic>
          </wp:inline>
        </w:drawing>
      </w:r>
    </w:p>
    <w:p w:rsidR="00626D78" w:rsidRPr="001B130D" w:rsidRDefault="00FC687C" w:rsidP="0078755A">
      <w:pPr>
        <w:rPr>
          <w:rFonts w:ascii="Times New Roman" w:eastAsia="Times New Roman" w:hAnsi="Times New Roman" w:cs="Times New Roman"/>
          <w:b/>
          <w:sz w:val="24"/>
          <w:szCs w:val="24"/>
        </w:rPr>
      </w:pPr>
      <w:r w:rsidRPr="001B130D">
        <w:rPr>
          <w:rFonts w:ascii="Times New Roman" w:eastAsia="Times New Roman" w:hAnsi="Times New Roman" w:cs="Times New Roman"/>
          <w:b/>
          <w:sz w:val="24"/>
          <w:szCs w:val="24"/>
        </w:rPr>
        <w:t xml:space="preserve">Recommending the corporation finance   </w:t>
      </w:r>
      <w:r w:rsidR="00095B81" w:rsidRPr="001B130D">
        <w:rPr>
          <w:rFonts w:ascii="Times New Roman" w:eastAsia="Times New Roman" w:hAnsi="Times New Roman" w:cs="Times New Roman"/>
          <w:b/>
          <w:sz w:val="24"/>
          <w:szCs w:val="24"/>
        </w:rPr>
        <w:t xml:space="preserve"> </w:t>
      </w:r>
    </w:p>
    <w:p w:rsidR="00234430" w:rsidRPr="001B130D" w:rsidRDefault="00FC687C" w:rsidP="00C4244A">
      <w:pPr>
        <w:ind w:firstLine="720"/>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The above analysis has considered many aspects of historical performance and also forecast of valuation into the future. </w:t>
      </w:r>
      <w:proofErr w:type="gramStart"/>
      <w:r w:rsidRPr="001B130D">
        <w:rPr>
          <w:rFonts w:ascii="Times New Roman" w:eastAsia="Times New Roman" w:hAnsi="Times New Roman" w:cs="Times New Roman"/>
          <w:sz w:val="24"/>
          <w:szCs w:val="24"/>
        </w:rPr>
        <w:t>a</w:t>
      </w:r>
      <w:proofErr w:type="gramEnd"/>
      <w:r w:rsidRPr="001B130D">
        <w:rPr>
          <w:rFonts w:ascii="Times New Roman" w:eastAsia="Times New Roman" w:hAnsi="Times New Roman" w:cs="Times New Roman"/>
          <w:sz w:val="24"/>
          <w:szCs w:val="24"/>
        </w:rPr>
        <w:t xml:space="preserve"> comparison of the financial ratio with the industry averages (industry averages in appendix 1) shows  mixed performance but slightly skewed towards below industry performance.  </w:t>
      </w:r>
      <w:proofErr w:type="gramStart"/>
      <w:r w:rsidRPr="001B130D">
        <w:rPr>
          <w:rFonts w:ascii="Times New Roman" w:eastAsia="Times New Roman" w:hAnsi="Times New Roman" w:cs="Times New Roman"/>
          <w:sz w:val="24"/>
          <w:szCs w:val="24"/>
        </w:rPr>
        <w:t>for</w:t>
      </w:r>
      <w:proofErr w:type="gramEnd"/>
      <w:r w:rsidRPr="001B130D">
        <w:rPr>
          <w:rFonts w:ascii="Times New Roman" w:eastAsia="Times New Roman" w:hAnsi="Times New Roman" w:cs="Times New Roman"/>
          <w:sz w:val="24"/>
          <w:szCs w:val="24"/>
        </w:rPr>
        <w:t xml:space="preserve"> example, profitability ratios for the company on Return on Equity 5YA  @ 4.18, Return on Assets 5YA @ -11.7, Pretax margin 5YA @-26.85, Operating margin 5YA@-26.44,    and Gross Margin 5YA @ 46.77 are relatively better than the industry averages. </w:t>
      </w:r>
      <w:r w:rsidR="00C12A5E" w:rsidRPr="001B130D">
        <w:rPr>
          <w:rFonts w:ascii="Times New Roman" w:eastAsia="Times New Roman" w:hAnsi="Times New Roman" w:cs="Times New Roman"/>
          <w:sz w:val="24"/>
          <w:szCs w:val="24"/>
        </w:rPr>
        <w:t xml:space="preserve">Liquidity Ratios are also healthy despite being slightly below industry averages. The debt to equity for the company, about half of the company finances are through debt which is healthy.  In terms of asset leverage, </w:t>
      </w:r>
      <w:r w:rsidR="00234430" w:rsidRPr="001B130D">
        <w:rPr>
          <w:rFonts w:ascii="Times New Roman" w:eastAsia="Times New Roman" w:hAnsi="Times New Roman" w:cs="Times New Roman"/>
          <w:sz w:val="24"/>
          <w:szCs w:val="24"/>
        </w:rPr>
        <w:t xml:space="preserve">the ratio of 1.7 shows that more assets are financed using debt or loan and that the equity holders have less claim on such assets. A ratio of 1.7 is still not considered risky and therefore it is healthy in terms of financing more assets by a balanced issuance of debt and equity. </w:t>
      </w:r>
    </w:p>
    <w:p w:rsidR="00C4244A" w:rsidRPr="001B130D" w:rsidRDefault="00234430" w:rsidP="00C4244A">
      <w:pPr>
        <w:ind w:firstLine="720"/>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Based on the above, Marathon Oil Corporation is can manage to use more debt funds to finance its capital expenditure which is pegged at $ $1,795,600.</w:t>
      </w:r>
      <w:r w:rsidR="004C32E6" w:rsidRPr="001B130D">
        <w:rPr>
          <w:rFonts w:ascii="Times New Roman" w:eastAsia="Times New Roman" w:hAnsi="Times New Roman" w:cs="Times New Roman"/>
          <w:sz w:val="24"/>
          <w:szCs w:val="24"/>
        </w:rPr>
        <w:t xml:space="preserve"> The analysis above (valuation, financial ratios, and financial performance trends) shows that Marathon Oil Corporation is a relatively stable, liquid, solvent, and profitable company. The oil industry is peaking as the global economy rebound from a poor global economic performance due to the pandemic. </w:t>
      </w:r>
      <w:r w:rsidR="004C32E6" w:rsidRPr="001B130D">
        <w:rPr>
          <w:rFonts w:ascii="Times New Roman" w:eastAsia="Times New Roman" w:hAnsi="Times New Roman" w:cs="Times New Roman"/>
          <w:sz w:val="24"/>
          <w:szCs w:val="24"/>
        </w:rPr>
        <w:lastRenderedPageBreak/>
        <w:t>Basically, the global economy and environment is looking upwards and this is a favorable environment for the company.  Based on these factors, Marathon Oil Corporation can be able to achieve a performance that will enable payment of interests and because the assets are not highly committed into past loans, fresh loan for the capital expenditure would be appropriate. Other advantages of the debt financing method include: the owners retain business ownership, it allows tax deductions</w:t>
      </w:r>
      <w:r w:rsidR="00661DC3" w:rsidRPr="001B130D">
        <w:rPr>
          <w:rFonts w:ascii="Times New Roman" w:eastAsia="Times New Roman" w:hAnsi="Times New Roman" w:cs="Times New Roman"/>
          <w:sz w:val="24"/>
          <w:szCs w:val="24"/>
        </w:rPr>
        <w:t>, debt</w:t>
      </w:r>
      <w:r w:rsidR="004C32E6" w:rsidRPr="001B130D">
        <w:rPr>
          <w:rFonts w:ascii="Times New Roman" w:eastAsia="Times New Roman" w:hAnsi="Times New Roman" w:cs="Times New Roman"/>
          <w:sz w:val="24"/>
          <w:szCs w:val="24"/>
        </w:rPr>
        <w:t xml:space="preserve"> can fuel growth,</w:t>
      </w:r>
      <w:r w:rsidR="00661DC3" w:rsidRPr="001B130D">
        <w:rPr>
          <w:rFonts w:ascii="Times New Roman" w:eastAsia="Times New Roman" w:hAnsi="Times New Roman" w:cs="Times New Roman"/>
          <w:sz w:val="24"/>
          <w:szCs w:val="24"/>
        </w:rPr>
        <w:t xml:space="preserve"> use of long-term debt can eradicate the company’s reliance on expensive debt,</w:t>
      </w:r>
      <w:r w:rsidR="0093223D" w:rsidRPr="001B130D">
        <w:rPr>
          <w:rFonts w:ascii="Times New Roman" w:eastAsia="Times New Roman" w:hAnsi="Times New Roman" w:cs="Times New Roman"/>
          <w:sz w:val="24"/>
          <w:szCs w:val="24"/>
        </w:rPr>
        <w:t xml:space="preserve"> it</w:t>
      </w:r>
      <w:r w:rsidR="00661DC3" w:rsidRPr="001B130D">
        <w:rPr>
          <w:rFonts w:ascii="Times New Roman" w:eastAsia="Times New Roman" w:hAnsi="Times New Roman" w:cs="Times New Roman"/>
          <w:sz w:val="24"/>
          <w:szCs w:val="24"/>
        </w:rPr>
        <w:t xml:space="preserve"> </w:t>
      </w:r>
      <w:r w:rsidR="0093223D" w:rsidRPr="001B130D">
        <w:rPr>
          <w:rFonts w:ascii="Times New Roman" w:eastAsia="Times New Roman" w:hAnsi="Times New Roman" w:cs="Times New Roman"/>
          <w:sz w:val="24"/>
          <w:szCs w:val="24"/>
        </w:rPr>
        <w:t>is easier to plan payment, loans come in different forms and offer flexibility (many options), provide opportunity for</w:t>
      </w:r>
      <w:r w:rsidR="003975F1" w:rsidRPr="001B130D">
        <w:rPr>
          <w:rFonts w:ascii="Times New Roman" w:eastAsia="Times New Roman" w:hAnsi="Times New Roman" w:cs="Times New Roman"/>
          <w:sz w:val="24"/>
          <w:szCs w:val="24"/>
        </w:rPr>
        <w:t xml:space="preserve"> access to customized terms to suit specific needs and situations</w:t>
      </w:r>
      <w:r w:rsidR="00D63DE6" w:rsidRPr="001B130D">
        <w:rPr>
          <w:rFonts w:ascii="Times New Roman" w:hAnsi="Times New Roman" w:cs="Times New Roman"/>
          <w:sz w:val="24"/>
          <w:szCs w:val="24"/>
        </w:rPr>
        <w:t xml:space="preserve"> (</w:t>
      </w:r>
      <w:r w:rsidR="00D63DE6" w:rsidRPr="001B130D">
        <w:rPr>
          <w:rFonts w:ascii="Times New Roman" w:eastAsia="Times New Roman" w:hAnsi="Times New Roman" w:cs="Times New Roman"/>
          <w:sz w:val="24"/>
          <w:szCs w:val="24"/>
        </w:rPr>
        <w:t>Ling, 2020)</w:t>
      </w:r>
      <w:r w:rsidR="003975F1" w:rsidRPr="001B130D">
        <w:rPr>
          <w:rFonts w:ascii="Times New Roman" w:eastAsia="Times New Roman" w:hAnsi="Times New Roman" w:cs="Times New Roman"/>
          <w:sz w:val="24"/>
          <w:szCs w:val="24"/>
        </w:rPr>
        <w:t xml:space="preserve">. </w:t>
      </w:r>
      <w:r w:rsidR="00661DC3" w:rsidRPr="001B130D">
        <w:rPr>
          <w:rFonts w:ascii="Times New Roman" w:eastAsia="Times New Roman" w:hAnsi="Times New Roman" w:cs="Times New Roman"/>
          <w:sz w:val="24"/>
          <w:szCs w:val="24"/>
        </w:rPr>
        <w:t xml:space="preserve">The </w:t>
      </w:r>
      <w:r w:rsidR="004C32E6" w:rsidRPr="001B130D">
        <w:rPr>
          <w:rFonts w:ascii="Times New Roman" w:eastAsia="Times New Roman" w:hAnsi="Times New Roman" w:cs="Times New Roman"/>
          <w:sz w:val="24"/>
          <w:szCs w:val="24"/>
        </w:rPr>
        <w:t xml:space="preserve">disadvantages of the debt financing method include </w:t>
      </w:r>
      <w:r w:rsidR="00661DC3" w:rsidRPr="001B130D">
        <w:rPr>
          <w:rFonts w:ascii="Times New Roman" w:eastAsia="Times New Roman" w:hAnsi="Times New Roman" w:cs="Times New Roman"/>
          <w:sz w:val="24"/>
          <w:szCs w:val="24"/>
        </w:rPr>
        <w:t>the amount must be repaid to the lender even when the business is performing poorly, High rates of interests,</w:t>
      </w:r>
      <w:r w:rsidR="00025388" w:rsidRPr="001B130D">
        <w:rPr>
          <w:rFonts w:ascii="Times New Roman" w:eastAsia="Times New Roman" w:hAnsi="Times New Roman" w:cs="Times New Roman"/>
          <w:sz w:val="24"/>
          <w:szCs w:val="24"/>
        </w:rPr>
        <w:t xml:space="preserve"> and</w:t>
      </w:r>
      <w:r w:rsidR="00661DC3" w:rsidRPr="001B130D">
        <w:rPr>
          <w:rFonts w:ascii="Times New Roman" w:eastAsia="Times New Roman" w:hAnsi="Times New Roman" w:cs="Times New Roman"/>
          <w:sz w:val="24"/>
          <w:szCs w:val="24"/>
        </w:rPr>
        <w:t xml:space="preserve"> it</w:t>
      </w:r>
      <w:r w:rsidR="00025388" w:rsidRPr="001B130D">
        <w:rPr>
          <w:rFonts w:ascii="Times New Roman" w:eastAsia="Times New Roman" w:hAnsi="Times New Roman" w:cs="Times New Roman"/>
          <w:sz w:val="24"/>
          <w:szCs w:val="24"/>
        </w:rPr>
        <w:t xml:space="preserve"> can</w:t>
      </w:r>
      <w:r w:rsidR="00661DC3" w:rsidRPr="001B130D">
        <w:rPr>
          <w:rFonts w:ascii="Times New Roman" w:eastAsia="Times New Roman" w:hAnsi="Times New Roman" w:cs="Times New Roman"/>
          <w:sz w:val="24"/>
          <w:szCs w:val="24"/>
        </w:rPr>
        <w:t xml:space="preserve"> impacts company’s </w:t>
      </w:r>
      <w:r w:rsidR="00025388" w:rsidRPr="001B130D">
        <w:rPr>
          <w:rFonts w:ascii="Times New Roman" w:eastAsia="Times New Roman" w:hAnsi="Times New Roman" w:cs="Times New Roman"/>
          <w:sz w:val="24"/>
          <w:szCs w:val="24"/>
        </w:rPr>
        <w:t>credit rating.</w:t>
      </w:r>
    </w:p>
    <w:p w:rsidR="004C32E6" w:rsidRPr="001B130D" w:rsidRDefault="00025388" w:rsidP="00C4244A">
      <w:pPr>
        <w:ind w:firstLine="720"/>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Overall, </w:t>
      </w:r>
      <w:r w:rsidR="00C4244A" w:rsidRPr="001B130D">
        <w:rPr>
          <w:rFonts w:ascii="Times New Roman" w:eastAsia="Times New Roman" w:hAnsi="Times New Roman" w:cs="Times New Roman"/>
          <w:sz w:val="24"/>
          <w:szCs w:val="24"/>
        </w:rPr>
        <w:t xml:space="preserve">Marathon Oil Corporation  capital expenditure will be $1,795,600   or (10%* 17,956, 000) and since the income return from the new asset will not exceed cost of borrowing, then the considerations is on valuation, financial health of the company, and the business conditions. Based on these factors, debt financing will be appropriate for Marathon Oil Corporation. </w:t>
      </w:r>
    </w:p>
    <w:p w:rsidR="00234430" w:rsidRPr="001B130D" w:rsidRDefault="00234430" w:rsidP="00FC687C">
      <w:pPr>
        <w:rPr>
          <w:rFonts w:ascii="Times New Roman" w:eastAsia="Times New Roman" w:hAnsi="Times New Roman" w:cs="Times New Roman"/>
          <w:sz w:val="24"/>
          <w:szCs w:val="24"/>
        </w:rPr>
      </w:pPr>
    </w:p>
    <w:p w:rsidR="00234430" w:rsidRPr="001B130D" w:rsidRDefault="00234430" w:rsidP="00FC687C">
      <w:pPr>
        <w:rPr>
          <w:rFonts w:ascii="Times New Roman" w:eastAsia="Times New Roman" w:hAnsi="Times New Roman" w:cs="Times New Roman"/>
          <w:sz w:val="24"/>
          <w:szCs w:val="24"/>
        </w:rPr>
      </w:pPr>
    </w:p>
    <w:p w:rsidR="00234430" w:rsidRPr="001B130D" w:rsidRDefault="00234430" w:rsidP="00FC687C">
      <w:pPr>
        <w:rPr>
          <w:rFonts w:ascii="Times New Roman" w:eastAsia="Times New Roman" w:hAnsi="Times New Roman" w:cs="Times New Roman"/>
          <w:sz w:val="24"/>
          <w:szCs w:val="24"/>
        </w:rPr>
      </w:pPr>
    </w:p>
    <w:p w:rsidR="00005909" w:rsidRPr="001B130D" w:rsidRDefault="00005909" w:rsidP="00FD2FBD">
      <w:pPr>
        <w:rPr>
          <w:rFonts w:ascii="Times New Roman" w:eastAsia="Times New Roman" w:hAnsi="Times New Roman" w:cs="Times New Roman"/>
          <w:sz w:val="24"/>
          <w:szCs w:val="24"/>
        </w:rPr>
      </w:pPr>
    </w:p>
    <w:p w:rsidR="00005909" w:rsidRPr="001B130D" w:rsidRDefault="00005909" w:rsidP="00FD2FBD">
      <w:pPr>
        <w:rPr>
          <w:rFonts w:ascii="Times New Roman" w:eastAsia="Times New Roman" w:hAnsi="Times New Roman" w:cs="Times New Roman"/>
          <w:sz w:val="24"/>
          <w:szCs w:val="24"/>
        </w:rPr>
      </w:pPr>
    </w:p>
    <w:p w:rsidR="00630F35" w:rsidRPr="001B130D" w:rsidRDefault="00790ACC" w:rsidP="00FD2FBD">
      <w:pPr>
        <w:rPr>
          <w:rFonts w:ascii="Times New Roman" w:eastAsia="Times New Roman" w:hAnsi="Times New Roman" w:cs="Times New Roman"/>
          <w:b/>
          <w:sz w:val="24"/>
          <w:szCs w:val="24"/>
        </w:rPr>
      </w:pPr>
      <w:r w:rsidRPr="001B130D">
        <w:rPr>
          <w:rFonts w:ascii="Times New Roman" w:eastAsia="Times New Roman" w:hAnsi="Times New Roman" w:cs="Times New Roman"/>
          <w:b/>
          <w:sz w:val="24"/>
          <w:szCs w:val="24"/>
        </w:rPr>
        <w:t xml:space="preserve">References </w:t>
      </w:r>
    </w:p>
    <w:p w:rsidR="00D63DE6" w:rsidRPr="001B130D" w:rsidRDefault="00D63DE6" w:rsidP="00D63DE6">
      <w:pPr>
        <w:rPr>
          <w:rFonts w:ascii="Times New Roman" w:eastAsia="Times New Roman" w:hAnsi="Times New Roman" w:cs="Times New Roman"/>
          <w:sz w:val="24"/>
          <w:szCs w:val="24"/>
        </w:rPr>
      </w:pPr>
      <w:proofErr w:type="gramStart"/>
      <w:r w:rsidRPr="001B130D">
        <w:rPr>
          <w:rFonts w:ascii="Times New Roman" w:eastAsia="Times New Roman" w:hAnsi="Times New Roman" w:cs="Times New Roman"/>
          <w:sz w:val="24"/>
          <w:szCs w:val="24"/>
        </w:rPr>
        <w:t>Annualreports.com (2021).</w:t>
      </w:r>
      <w:proofErr w:type="gramEnd"/>
      <w:r w:rsidRPr="001B130D">
        <w:rPr>
          <w:rFonts w:ascii="Times New Roman" w:eastAsia="Times New Roman" w:hAnsi="Times New Roman" w:cs="Times New Roman"/>
          <w:sz w:val="24"/>
          <w:szCs w:val="24"/>
        </w:rPr>
        <w:t xml:space="preserve"> </w:t>
      </w:r>
      <w:r w:rsidRPr="001B130D">
        <w:rPr>
          <w:rFonts w:ascii="Times New Roman" w:eastAsia="Times New Roman" w:hAnsi="Times New Roman" w:cs="Times New Roman"/>
          <w:i/>
          <w:sz w:val="24"/>
          <w:szCs w:val="24"/>
        </w:rPr>
        <w:t xml:space="preserve">Marathon </w:t>
      </w:r>
      <w:proofErr w:type="gramStart"/>
      <w:r w:rsidRPr="001B130D">
        <w:rPr>
          <w:rFonts w:ascii="Times New Roman" w:eastAsia="Times New Roman" w:hAnsi="Times New Roman" w:cs="Times New Roman"/>
          <w:i/>
          <w:sz w:val="24"/>
          <w:szCs w:val="24"/>
        </w:rPr>
        <w:t>oil</w:t>
      </w:r>
      <w:proofErr w:type="gramEnd"/>
      <w:r w:rsidRPr="001B130D">
        <w:rPr>
          <w:rFonts w:ascii="Times New Roman" w:eastAsia="Times New Roman" w:hAnsi="Times New Roman" w:cs="Times New Roman"/>
          <w:i/>
          <w:sz w:val="24"/>
          <w:szCs w:val="24"/>
        </w:rPr>
        <w:t xml:space="preserve"> Corporation </w:t>
      </w:r>
      <w:r w:rsidRPr="001B130D">
        <w:rPr>
          <w:rFonts w:ascii="Times New Roman" w:eastAsia="Times New Roman" w:hAnsi="Times New Roman" w:cs="Times New Roman"/>
          <w:sz w:val="24"/>
          <w:szCs w:val="24"/>
        </w:rPr>
        <w:t>Retrieved from: https://www.annualreports.com/Company/marathon-oil-corporation</w:t>
      </w:r>
    </w:p>
    <w:p w:rsidR="00630F35" w:rsidRPr="001B130D" w:rsidRDefault="00C4244A" w:rsidP="00630F35">
      <w:pPr>
        <w:rPr>
          <w:rFonts w:ascii="Times New Roman" w:eastAsia="Times New Roman" w:hAnsi="Times New Roman" w:cs="Times New Roman"/>
          <w:sz w:val="24"/>
          <w:szCs w:val="24"/>
        </w:rPr>
      </w:pPr>
      <w:proofErr w:type="gramStart"/>
      <w:r w:rsidRPr="001B130D">
        <w:rPr>
          <w:rFonts w:ascii="Times New Roman" w:eastAsia="Times New Roman" w:hAnsi="Times New Roman" w:cs="Times New Roman"/>
          <w:sz w:val="24"/>
          <w:szCs w:val="24"/>
        </w:rPr>
        <w:t>Investing.com (2021).</w:t>
      </w:r>
      <w:proofErr w:type="gramEnd"/>
      <w:r w:rsidRPr="001B130D">
        <w:rPr>
          <w:rFonts w:ascii="Times New Roman" w:eastAsia="Times New Roman" w:hAnsi="Times New Roman" w:cs="Times New Roman"/>
          <w:sz w:val="24"/>
          <w:szCs w:val="24"/>
        </w:rPr>
        <w:t xml:space="preserve"> </w:t>
      </w:r>
      <w:r w:rsidR="00BB0FB7" w:rsidRPr="001B130D">
        <w:rPr>
          <w:rFonts w:ascii="Times New Roman" w:eastAsia="Times New Roman" w:hAnsi="Times New Roman" w:cs="Times New Roman"/>
          <w:i/>
          <w:sz w:val="24"/>
          <w:szCs w:val="24"/>
        </w:rPr>
        <w:t>Marathon Oil Corporation (MRO).</w:t>
      </w:r>
      <w:r w:rsidR="00BB0FB7" w:rsidRPr="001B130D">
        <w:rPr>
          <w:rFonts w:ascii="Times New Roman" w:eastAsia="Times New Roman" w:hAnsi="Times New Roman" w:cs="Times New Roman"/>
          <w:sz w:val="24"/>
          <w:szCs w:val="24"/>
        </w:rPr>
        <w:t xml:space="preserve"> </w:t>
      </w:r>
      <w:r w:rsidRPr="001B130D">
        <w:rPr>
          <w:rFonts w:ascii="Times New Roman" w:eastAsia="Times New Roman" w:hAnsi="Times New Roman" w:cs="Times New Roman"/>
          <w:sz w:val="24"/>
          <w:szCs w:val="24"/>
        </w:rPr>
        <w:t xml:space="preserve">Retrieved from: </w:t>
      </w:r>
      <w:r w:rsidR="00BB0FB7" w:rsidRPr="001B130D">
        <w:rPr>
          <w:rFonts w:ascii="Times New Roman" w:eastAsia="Times New Roman" w:hAnsi="Times New Roman" w:cs="Times New Roman"/>
          <w:sz w:val="24"/>
          <w:szCs w:val="24"/>
        </w:rPr>
        <w:t>https://www.investing.com/equities/marathon-oil-ratios</w:t>
      </w:r>
    </w:p>
    <w:p w:rsidR="00C4244A" w:rsidRPr="001B130D" w:rsidRDefault="00C4244A" w:rsidP="00630F35">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 xml:space="preserve">Ling, Z. (2020). </w:t>
      </w:r>
      <w:proofErr w:type="gramStart"/>
      <w:r w:rsidRPr="001B130D">
        <w:rPr>
          <w:rFonts w:ascii="Times New Roman" w:eastAsia="Times New Roman" w:hAnsi="Times New Roman" w:cs="Times New Roman"/>
          <w:sz w:val="24"/>
          <w:szCs w:val="24"/>
        </w:rPr>
        <w:t>A research on the effect of equity and debt financing on technological innovation performance.</w:t>
      </w:r>
      <w:proofErr w:type="gramEnd"/>
      <w:r w:rsidRPr="001B130D">
        <w:rPr>
          <w:rFonts w:ascii="Times New Roman" w:eastAsia="Times New Roman" w:hAnsi="Times New Roman" w:cs="Times New Roman"/>
          <w:sz w:val="24"/>
          <w:szCs w:val="24"/>
        </w:rPr>
        <w:t xml:space="preserve"> </w:t>
      </w:r>
      <w:proofErr w:type="gramStart"/>
      <w:r w:rsidRPr="001B130D">
        <w:rPr>
          <w:rFonts w:ascii="Times New Roman" w:eastAsia="Times New Roman" w:hAnsi="Times New Roman" w:cs="Times New Roman"/>
          <w:i/>
          <w:sz w:val="24"/>
          <w:szCs w:val="24"/>
        </w:rPr>
        <w:t>Science Research Management, 41</w:t>
      </w:r>
      <w:r w:rsidRPr="001B130D">
        <w:rPr>
          <w:rFonts w:ascii="Times New Roman" w:eastAsia="Times New Roman" w:hAnsi="Times New Roman" w:cs="Times New Roman"/>
          <w:sz w:val="24"/>
          <w:szCs w:val="24"/>
        </w:rPr>
        <w:t>(8), 95.</w:t>
      </w:r>
      <w:proofErr w:type="gramEnd"/>
    </w:p>
    <w:p w:rsidR="00630F35" w:rsidRPr="001B130D" w:rsidRDefault="00C4244A" w:rsidP="00630F35">
      <w:pPr>
        <w:rPr>
          <w:rFonts w:ascii="Times New Roman" w:eastAsia="Times New Roman" w:hAnsi="Times New Roman" w:cs="Times New Roman"/>
          <w:sz w:val="24"/>
          <w:szCs w:val="24"/>
        </w:rPr>
      </w:pPr>
      <w:proofErr w:type="gramStart"/>
      <w:r w:rsidRPr="001B130D">
        <w:rPr>
          <w:rFonts w:ascii="Times New Roman" w:eastAsia="Times New Roman" w:hAnsi="Times New Roman" w:cs="Times New Roman"/>
          <w:sz w:val="24"/>
          <w:szCs w:val="24"/>
        </w:rPr>
        <w:t>Marketwatch.com (2021).</w:t>
      </w:r>
      <w:proofErr w:type="gramEnd"/>
      <w:r w:rsidRPr="001B130D">
        <w:rPr>
          <w:rFonts w:ascii="Times New Roman" w:eastAsia="Times New Roman" w:hAnsi="Times New Roman" w:cs="Times New Roman"/>
          <w:sz w:val="24"/>
          <w:szCs w:val="24"/>
        </w:rPr>
        <w:t xml:space="preserve"> </w:t>
      </w:r>
      <w:proofErr w:type="gramStart"/>
      <w:r w:rsidRPr="001B130D">
        <w:rPr>
          <w:rFonts w:ascii="Times New Roman" w:eastAsia="Times New Roman" w:hAnsi="Times New Roman" w:cs="Times New Roman"/>
          <w:i/>
          <w:sz w:val="24"/>
          <w:szCs w:val="24"/>
        </w:rPr>
        <w:t>Financials balance-sheet.</w:t>
      </w:r>
      <w:proofErr w:type="gramEnd"/>
      <w:r w:rsidRPr="001B130D">
        <w:rPr>
          <w:rFonts w:ascii="Times New Roman" w:eastAsia="Times New Roman" w:hAnsi="Times New Roman" w:cs="Times New Roman"/>
          <w:i/>
          <w:sz w:val="24"/>
          <w:szCs w:val="24"/>
        </w:rPr>
        <w:t xml:space="preserve"> </w:t>
      </w:r>
      <w:r w:rsidRPr="001B130D">
        <w:rPr>
          <w:rFonts w:ascii="Times New Roman" w:eastAsia="Times New Roman" w:hAnsi="Times New Roman" w:cs="Times New Roman"/>
          <w:sz w:val="24"/>
          <w:szCs w:val="24"/>
        </w:rPr>
        <w:t>Retrieved from: https://www.marketwatch.com/investing/stock/mro/financials/balance-sheet</w:t>
      </w:r>
    </w:p>
    <w:p w:rsidR="00630F35" w:rsidRPr="001B130D" w:rsidRDefault="00D63DE6" w:rsidP="00630F35">
      <w:pPr>
        <w:rPr>
          <w:rFonts w:ascii="Times New Roman" w:eastAsia="Times New Roman" w:hAnsi="Times New Roman" w:cs="Times New Roman"/>
          <w:sz w:val="24"/>
          <w:szCs w:val="24"/>
        </w:rPr>
      </w:pPr>
      <w:proofErr w:type="gramStart"/>
      <w:r w:rsidRPr="001B130D">
        <w:rPr>
          <w:rFonts w:ascii="Times New Roman" w:eastAsia="Times New Roman" w:hAnsi="Times New Roman" w:cs="Times New Roman"/>
          <w:sz w:val="24"/>
          <w:szCs w:val="24"/>
        </w:rPr>
        <w:t xml:space="preserve">Zeller, T., </w:t>
      </w:r>
      <w:proofErr w:type="spellStart"/>
      <w:r w:rsidRPr="001B130D">
        <w:rPr>
          <w:rFonts w:ascii="Times New Roman" w:eastAsia="Times New Roman" w:hAnsi="Times New Roman" w:cs="Times New Roman"/>
          <w:sz w:val="24"/>
          <w:szCs w:val="24"/>
        </w:rPr>
        <w:t>Kostolansky</w:t>
      </w:r>
      <w:proofErr w:type="spellEnd"/>
      <w:r w:rsidRPr="001B130D">
        <w:rPr>
          <w:rFonts w:ascii="Times New Roman" w:eastAsia="Times New Roman" w:hAnsi="Times New Roman" w:cs="Times New Roman"/>
          <w:sz w:val="24"/>
          <w:szCs w:val="24"/>
        </w:rPr>
        <w:t xml:space="preserve">, J., &amp; </w:t>
      </w:r>
      <w:proofErr w:type="spellStart"/>
      <w:r w:rsidRPr="001B130D">
        <w:rPr>
          <w:rFonts w:ascii="Times New Roman" w:eastAsia="Times New Roman" w:hAnsi="Times New Roman" w:cs="Times New Roman"/>
          <w:sz w:val="24"/>
          <w:szCs w:val="24"/>
        </w:rPr>
        <w:t>Bozoudis</w:t>
      </w:r>
      <w:proofErr w:type="spellEnd"/>
      <w:r w:rsidRPr="001B130D">
        <w:rPr>
          <w:rFonts w:ascii="Times New Roman" w:eastAsia="Times New Roman" w:hAnsi="Times New Roman" w:cs="Times New Roman"/>
          <w:sz w:val="24"/>
          <w:szCs w:val="24"/>
        </w:rPr>
        <w:t>, M. (2019).</w:t>
      </w:r>
      <w:proofErr w:type="gramEnd"/>
      <w:r w:rsidRPr="001B130D">
        <w:rPr>
          <w:rFonts w:ascii="Times New Roman" w:eastAsia="Times New Roman" w:hAnsi="Times New Roman" w:cs="Times New Roman"/>
          <w:sz w:val="24"/>
          <w:szCs w:val="24"/>
        </w:rPr>
        <w:t xml:space="preserve"> </w:t>
      </w:r>
      <w:proofErr w:type="gramStart"/>
      <w:r w:rsidRPr="001B130D">
        <w:rPr>
          <w:rFonts w:ascii="Times New Roman" w:eastAsia="Times New Roman" w:hAnsi="Times New Roman" w:cs="Times New Roman"/>
          <w:sz w:val="24"/>
          <w:szCs w:val="24"/>
        </w:rPr>
        <w:t>An IFRS-based taxonomy of financial ratios.</w:t>
      </w:r>
      <w:proofErr w:type="gramEnd"/>
      <w:r w:rsidRPr="001B130D">
        <w:rPr>
          <w:rFonts w:ascii="Times New Roman" w:eastAsia="Times New Roman" w:hAnsi="Times New Roman" w:cs="Times New Roman"/>
          <w:sz w:val="24"/>
          <w:szCs w:val="24"/>
        </w:rPr>
        <w:t xml:space="preserve"> </w:t>
      </w:r>
      <w:proofErr w:type="gramStart"/>
      <w:r w:rsidRPr="001B130D">
        <w:rPr>
          <w:rFonts w:ascii="Times New Roman" w:eastAsia="Times New Roman" w:hAnsi="Times New Roman" w:cs="Times New Roman"/>
          <w:i/>
          <w:sz w:val="24"/>
          <w:szCs w:val="24"/>
        </w:rPr>
        <w:t>Accounting Research Journal</w:t>
      </w:r>
      <w:r w:rsidRPr="001B130D">
        <w:rPr>
          <w:rFonts w:ascii="Times New Roman" w:eastAsia="Times New Roman" w:hAnsi="Times New Roman" w:cs="Times New Roman"/>
          <w:sz w:val="24"/>
          <w:szCs w:val="24"/>
        </w:rPr>
        <w:t>.</w:t>
      </w:r>
      <w:proofErr w:type="gramEnd"/>
    </w:p>
    <w:p w:rsidR="00630F35" w:rsidRPr="001B130D" w:rsidRDefault="00630F35" w:rsidP="00630F35">
      <w:pPr>
        <w:rPr>
          <w:rFonts w:ascii="Times New Roman" w:eastAsia="Times New Roman" w:hAnsi="Times New Roman" w:cs="Times New Roman"/>
          <w:sz w:val="24"/>
          <w:szCs w:val="24"/>
        </w:rPr>
      </w:pPr>
    </w:p>
    <w:p w:rsidR="00630F35" w:rsidRPr="001B130D" w:rsidRDefault="00630F35" w:rsidP="00630F35">
      <w:pPr>
        <w:rPr>
          <w:rFonts w:ascii="Times New Roman" w:eastAsia="Times New Roman" w:hAnsi="Times New Roman" w:cs="Times New Roman"/>
          <w:sz w:val="24"/>
          <w:szCs w:val="24"/>
        </w:rPr>
      </w:pPr>
    </w:p>
    <w:p w:rsidR="00630F35" w:rsidRPr="001B130D" w:rsidRDefault="00630F35" w:rsidP="00630F35">
      <w:pPr>
        <w:rPr>
          <w:rFonts w:ascii="Times New Roman" w:eastAsia="Times New Roman" w:hAnsi="Times New Roman" w:cs="Times New Roman"/>
          <w:sz w:val="24"/>
          <w:szCs w:val="24"/>
        </w:rPr>
      </w:pPr>
    </w:p>
    <w:p w:rsidR="00630F35" w:rsidRPr="001B130D" w:rsidRDefault="00630F35" w:rsidP="00630F35">
      <w:pPr>
        <w:rPr>
          <w:rFonts w:ascii="Times New Roman" w:eastAsia="Times New Roman" w:hAnsi="Times New Roman" w:cs="Times New Roman"/>
          <w:sz w:val="24"/>
          <w:szCs w:val="24"/>
        </w:rPr>
      </w:pPr>
    </w:p>
    <w:p w:rsidR="00630F35" w:rsidRPr="001B130D" w:rsidRDefault="00630F35" w:rsidP="00630F35">
      <w:pPr>
        <w:rPr>
          <w:rFonts w:ascii="Times New Roman" w:eastAsia="Times New Roman" w:hAnsi="Times New Roman" w:cs="Times New Roman"/>
          <w:sz w:val="24"/>
          <w:szCs w:val="24"/>
        </w:rPr>
      </w:pPr>
    </w:p>
    <w:p w:rsidR="00630F35" w:rsidRPr="001B130D" w:rsidRDefault="00630F35" w:rsidP="00630F35">
      <w:pPr>
        <w:rPr>
          <w:rFonts w:ascii="Times New Roman" w:eastAsia="Times New Roman" w:hAnsi="Times New Roman" w:cs="Times New Roman"/>
          <w:sz w:val="24"/>
          <w:szCs w:val="24"/>
        </w:rPr>
      </w:pPr>
    </w:p>
    <w:p w:rsidR="00630F35" w:rsidRPr="001B130D" w:rsidRDefault="00630F35" w:rsidP="00630F35">
      <w:pPr>
        <w:rPr>
          <w:rFonts w:ascii="Times New Roman" w:eastAsia="Times New Roman" w:hAnsi="Times New Roman" w:cs="Times New Roman"/>
          <w:sz w:val="24"/>
          <w:szCs w:val="24"/>
        </w:rPr>
      </w:pPr>
    </w:p>
    <w:p w:rsidR="00630F35" w:rsidRPr="001B130D" w:rsidRDefault="00630F35" w:rsidP="00630F35">
      <w:pPr>
        <w:rPr>
          <w:rFonts w:ascii="Times New Roman" w:eastAsia="Times New Roman" w:hAnsi="Times New Roman" w:cs="Times New Roman"/>
          <w:sz w:val="24"/>
          <w:szCs w:val="24"/>
        </w:rPr>
      </w:pPr>
    </w:p>
    <w:p w:rsidR="00630F35" w:rsidRPr="001B130D" w:rsidRDefault="00C4244A" w:rsidP="00630F35">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w:t>
      </w:r>
    </w:p>
    <w:p w:rsidR="00C4244A" w:rsidRPr="001B130D" w:rsidRDefault="00C4244A" w:rsidP="00630F35">
      <w:pPr>
        <w:rPr>
          <w:rFonts w:ascii="Times New Roman" w:eastAsia="Times New Roman" w:hAnsi="Times New Roman" w:cs="Times New Roman"/>
          <w:sz w:val="24"/>
          <w:szCs w:val="24"/>
        </w:rPr>
      </w:pPr>
    </w:p>
    <w:p w:rsidR="00C4244A" w:rsidRPr="001B130D" w:rsidRDefault="00C4244A" w:rsidP="00630F35">
      <w:pPr>
        <w:rPr>
          <w:rFonts w:ascii="Times New Roman" w:eastAsia="Times New Roman" w:hAnsi="Times New Roman" w:cs="Times New Roman"/>
          <w:sz w:val="24"/>
          <w:szCs w:val="24"/>
        </w:rPr>
      </w:pPr>
    </w:p>
    <w:p w:rsidR="00C4244A" w:rsidRPr="001B130D" w:rsidRDefault="00C4244A" w:rsidP="00630F35">
      <w:pPr>
        <w:rPr>
          <w:rFonts w:ascii="Times New Roman" w:eastAsia="Times New Roman" w:hAnsi="Times New Roman" w:cs="Times New Roman"/>
          <w:sz w:val="24"/>
          <w:szCs w:val="24"/>
        </w:rPr>
      </w:pPr>
    </w:p>
    <w:p w:rsidR="00630F35" w:rsidRPr="001B130D" w:rsidRDefault="00630F35" w:rsidP="00630F35">
      <w:pPr>
        <w:rPr>
          <w:rFonts w:ascii="Times New Roman" w:eastAsia="Times New Roman" w:hAnsi="Times New Roman" w:cs="Times New Roman"/>
          <w:sz w:val="24"/>
          <w:szCs w:val="24"/>
        </w:rPr>
      </w:pPr>
      <w:bookmarkStart w:id="0" w:name="_GoBack"/>
      <w:bookmarkEnd w:id="0"/>
      <w:r w:rsidRPr="001B130D">
        <w:rPr>
          <w:rFonts w:ascii="Times New Roman" w:eastAsia="Times New Roman" w:hAnsi="Times New Roman" w:cs="Times New Roman"/>
          <w:sz w:val="24"/>
          <w:szCs w:val="24"/>
        </w:rPr>
        <w:t xml:space="preserve">Appendix 1: </w:t>
      </w:r>
      <w:r w:rsidR="00BB0FB7" w:rsidRPr="001B130D">
        <w:rPr>
          <w:rFonts w:ascii="Times New Roman" w:eastAsia="Times New Roman" w:hAnsi="Times New Roman" w:cs="Times New Roman"/>
          <w:sz w:val="24"/>
          <w:szCs w:val="24"/>
        </w:rPr>
        <w:t xml:space="preserve">Company and </w:t>
      </w:r>
      <w:r w:rsidRPr="001B130D">
        <w:rPr>
          <w:rFonts w:ascii="Times New Roman" w:eastAsia="Times New Roman" w:hAnsi="Times New Roman" w:cs="Times New Roman"/>
          <w:sz w:val="24"/>
          <w:szCs w:val="24"/>
        </w:rPr>
        <w:t>Industry ratio</w:t>
      </w:r>
    </w:p>
    <w:tbl>
      <w:tblPr>
        <w:tblW w:w="6900" w:type="dxa"/>
        <w:tblInd w:w="93" w:type="dxa"/>
        <w:tblLook w:val="04A0"/>
      </w:tblPr>
      <w:tblGrid>
        <w:gridCol w:w="3460"/>
        <w:gridCol w:w="1540"/>
        <w:gridCol w:w="1900"/>
      </w:tblGrid>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Name</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Company</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Industry</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P/E Ratio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44.72</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Price to Sales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3.52</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12.48</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Price to Cash Flow MRQ</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202.12</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715.66</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Price to Free Cash Flow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12.34</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98.7</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Price to Book MRQ</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1.26</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2.58</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Price to Tangible Book MRQ</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1.25</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3.05</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Gross margin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0.8648</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46.68</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Gross Margin 5YA</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0.8251</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46.77</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Operating margin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-0.0835</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-10.85</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Operating margin 5YA</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0.0029</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-26.44</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Pretax margin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-0.1365</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-14.13</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Pretax margin 5YA</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-0.056</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-26.85</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Net Profit margin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-0.1428</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-16.87</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Net Profit margin 5YA</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-0.1252</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-29.3</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Revenue/Share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4.8</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68.01</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Basic EPS ANN</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-1.83</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-6.29</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Diluted EPS ANN</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-1.83</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-6.3</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Book Value/Share MRQ</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13.48</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54.24</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lastRenderedPageBreak/>
              <w:t>Tangible Book Value/Share MRQ</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13.48</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51.69</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Cash/Share MRQ</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1.23</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9.22</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Cash Flow/Share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1.98</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9.72</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Return on Equity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-0.0497</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1.71</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Return on Equity 5YA</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-0.0415</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4.18</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Return on Assets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-0.0298</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2.52</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Return on Assets 5YA</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-0.0236</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-11.7</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Return on Investment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-0.0321</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3.63</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Return on Investment 5YA</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-0.0256</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3.48</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EPS(MRQ) </w:t>
            </w:r>
            <w:proofErr w:type="spellStart"/>
            <w:r w:rsidRPr="001B130D">
              <w:rPr>
                <w:rFonts w:ascii="Times New Roman" w:eastAsia="Times New Roman" w:hAnsi="Times New Roman" w:cs="Times New Roman"/>
                <w:color w:val="000000"/>
                <w:sz w:val="24"/>
                <w:szCs w:val="24"/>
              </w:rPr>
              <w:t>vs</w:t>
            </w:r>
            <w:proofErr w:type="spellEnd"/>
            <w:r w:rsidRPr="001B130D">
              <w:rPr>
                <w:rFonts w:ascii="Times New Roman" w:eastAsia="Times New Roman" w:hAnsi="Times New Roman" w:cs="Times New Roman"/>
                <w:color w:val="000000"/>
                <w:sz w:val="24"/>
                <w:szCs w:val="24"/>
              </w:rPr>
              <w:t xml:space="preserve"> Qtr. 1 Yr. Ago MRQ</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1.0214</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690.58</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EPS(TTM) </w:t>
            </w:r>
            <w:proofErr w:type="spellStart"/>
            <w:r w:rsidRPr="001B130D">
              <w:rPr>
                <w:rFonts w:ascii="Times New Roman" w:eastAsia="Times New Roman" w:hAnsi="Times New Roman" w:cs="Times New Roman"/>
                <w:color w:val="000000"/>
                <w:sz w:val="24"/>
                <w:szCs w:val="24"/>
              </w:rPr>
              <w:t>vs</w:t>
            </w:r>
            <w:proofErr w:type="spellEnd"/>
            <w:r w:rsidRPr="001B130D">
              <w:rPr>
                <w:rFonts w:ascii="Times New Roman" w:eastAsia="Times New Roman" w:hAnsi="Times New Roman" w:cs="Times New Roman"/>
                <w:color w:val="000000"/>
                <w:sz w:val="24"/>
                <w:szCs w:val="24"/>
              </w:rPr>
              <w:t xml:space="preserve"> TTM 1 Yr. Ago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0.1717</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715.07</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 Year EPS Growth 5YA</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-17.19</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Sales (MRQ) </w:t>
            </w:r>
            <w:proofErr w:type="spellStart"/>
            <w:r w:rsidRPr="001B130D">
              <w:rPr>
                <w:rFonts w:ascii="Times New Roman" w:eastAsia="Times New Roman" w:hAnsi="Times New Roman" w:cs="Times New Roman"/>
                <w:color w:val="000000"/>
                <w:sz w:val="24"/>
                <w:szCs w:val="24"/>
              </w:rPr>
              <w:t>vs</w:t>
            </w:r>
            <w:proofErr w:type="spellEnd"/>
            <w:r w:rsidRPr="001B130D">
              <w:rPr>
                <w:rFonts w:ascii="Times New Roman" w:eastAsia="Times New Roman" w:hAnsi="Times New Roman" w:cs="Times New Roman"/>
                <w:color w:val="000000"/>
                <w:sz w:val="24"/>
                <w:szCs w:val="24"/>
              </w:rPr>
              <w:t xml:space="preserve"> Qtr. 1 Yr. Ago MRQ</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3.1679</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117.64</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 xml:space="preserve">Sales (TTM) </w:t>
            </w:r>
            <w:proofErr w:type="spellStart"/>
            <w:r w:rsidRPr="001B130D">
              <w:rPr>
                <w:rFonts w:ascii="Times New Roman" w:eastAsia="Times New Roman" w:hAnsi="Times New Roman" w:cs="Times New Roman"/>
                <w:color w:val="000000"/>
                <w:sz w:val="24"/>
                <w:szCs w:val="24"/>
              </w:rPr>
              <w:t>vs</w:t>
            </w:r>
            <w:proofErr w:type="spellEnd"/>
            <w:r w:rsidRPr="001B130D">
              <w:rPr>
                <w:rFonts w:ascii="Times New Roman" w:eastAsia="Times New Roman" w:hAnsi="Times New Roman" w:cs="Times New Roman"/>
                <w:color w:val="000000"/>
                <w:sz w:val="24"/>
                <w:szCs w:val="24"/>
              </w:rPr>
              <w:t xml:space="preserve"> TTM 1 Yr. Ago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-0.0604</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6.96</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 Year Sales Growth 5YA</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-0.0863</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0.98</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5 Year Capital Spending Growth 5YA</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-0.1736</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-6.63</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Quick Ratio MRQ</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1.27</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1.4</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Current Ratio MRQ</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1.32</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1.64</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LT Debt to Equity MRQ</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0.4584</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69.65</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Total Debt to Equity MRQ</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0.4615</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74.03</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Efficiency</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Asset Turnover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0.21</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0.51</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Inventory Turnover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6.62</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12.79</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Revenue/Employee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2.27M</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2.31M</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Net Income/Employee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-324.16K</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61.78K</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Receivable Turnover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4.66</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10.2</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Dividend Yield ANN</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0.0142</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3.19</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Dividend Yield 5 Year Avg. 5YA</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0.0132</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3.91</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Dividend Growth Rate ANN</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-0.1807</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14.28</w:t>
            </w:r>
          </w:p>
        </w:tc>
      </w:tr>
      <w:tr w:rsidR="00630F35" w:rsidRPr="001B130D" w:rsidTr="00630F35">
        <w:trPr>
          <w:trHeight w:val="300"/>
        </w:trPr>
        <w:tc>
          <w:tcPr>
            <w:tcW w:w="346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Payout Ratio TTM</w:t>
            </w:r>
          </w:p>
        </w:tc>
        <w:tc>
          <w:tcPr>
            <w:tcW w:w="154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w:t>
            </w:r>
          </w:p>
        </w:tc>
        <w:tc>
          <w:tcPr>
            <w:tcW w:w="1900" w:type="dxa"/>
            <w:tcBorders>
              <w:top w:val="nil"/>
              <w:left w:val="nil"/>
              <w:bottom w:val="nil"/>
              <w:right w:val="nil"/>
            </w:tcBorders>
            <w:shd w:val="clear" w:color="auto" w:fill="auto"/>
            <w:noWrap/>
            <w:vAlign w:val="bottom"/>
            <w:hideMark/>
          </w:tcPr>
          <w:p w:rsidR="00630F35" w:rsidRPr="001B130D" w:rsidRDefault="00630F35" w:rsidP="00630F35">
            <w:pPr>
              <w:spacing w:after="0" w:line="240" w:lineRule="auto"/>
              <w:jc w:val="center"/>
              <w:rPr>
                <w:rFonts w:ascii="Times New Roman" w:eastAsia="Times New Roman" w:hAnsi="Times New Roman" w:cs="Times New Roman"/>
                <w:color w:val="000000"/>
                <w:sz w:val="24"/>
                <w:szCs w:val="24"/>
              </w:rPr>
            </w:pPr>
            <w:r w:rsidRPr="001B130D">
              <w:rPr>
                <w:rFonts w:ascii="Times New Roman" w:eastAsia="Times New Roman" w:hAnsi="Times New Roman" w:cs="Times New Roman"/>
                <w:color w:val="000000"/>
                <w:sz w:val="24"/>
                <w:szCs w:val="24"/>
              </w:rPr>
              <w:t>105.89</w:t>
            </w:r>
          </w:p>
        </w:tc>
      </w:tr>
    </w:tbl>
    <w:p w:rsidR="00630F35" w:rsidRPr="001B130D" w:rsidRDefault="00630F35" w:rsidP="00630F35">
      <w:pPr>
        <w:rPr>
          <w:rFonts w:ascii="Times New Roman" w:eastAsia="Times New Roman" w:hAnsi="Times New Roman" w:cs="Times New Roman"/>
          <w:sz w:val="24"/>
          <w:szCs w:val="24"/>
        </w:rPr>
      </w:pPr>
    </w:p>
    <w:p w:rsidR="00630F35" w:rsidRPr="001B130D" w:rsidRDefault="00BB0FB7" w:rsidP="00630F35">
      <w:pPr>
        <w:rPr>
          <w:rFonts w:ascii="Times New Roman" w:eastAsia="Times New Roman" w:hAnsi="Times New Roman" w:cs="Times New Roman"/>
          <w:sz w:val="24"/>
          <w:szCs w:val="24"/>
        </w:rPr>
      </w:pPr>
      <w:r w:rsidRPr="001B130D">
        <w:rPr>
          <w:rFonts w:ascii="Times New Roman" w:eastAsia="Times New Roman" w:hAnsi="Times New Roman" w:cs="Times New Roman"/>
          <w:sz w:val="24"/>
          <w:szCs w:val="24"/>
        </w:rPr>
        <w:t>https://www.investing.com/equities/marathon-oil-ratios</w:t>
      </w:r>
    </w:p>
    <w:p w:rsidR="00FD2FBD" w:rsidRPr="001B130D" w:rsidRDefault="00FD2FBD" w:rsidP="00630F35">
      <w:pPr>
        <w:rPr>
          <w:rFonts w:ascii="Times New Roman" w:eastAsia="Times New Roman" w:hAnsi="Times New Roman" w:cs="Times New Roman"/>
          <w:sz w:val="24"/>
          <w:szCs w:val="24"/>
        </w:rPr>
      </w:pPr>
    </w:p>
    <w:sectPr w:rsidR="00FD2FBD" w:rsidRPr="001B130D" w:rsidSect="009C1F4D">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3F3E" w:rsidRDefault="00953F3E" w:rsidP="00DC1D4F">
      <w:pPr>
        <w:spacing w:after="0" w:line="240" w:lineRule="auto"/>
      </w:pPr>
      <w:r>
        <w:separator/>
      </w:r>
    </w:p>
  </w:endnote>
  <w:endnote w:type="continuationSeparator" w:id="0">
    <w:p w:rsidR="00953F3E" w:rsidRDefault="00953F3E" w:rsidP="00DC1D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3F3E" w:rsidRDefault="00953F3E" w:rsidP="00DC1D4F">
      <w:pPr>
        <w:spacing w:after="0" w:line="240" w:lineRule="auto"/>
      </w:pPr>
      <w:r>
        <w:separator/>
      </w:r>
    </w:p>
  </w:footnote>
  <w:footnote w:type="continuationSeparator" w:id="0">
    <w:p w:rsidR="00953F3E" w:rsidRDefault="00953F3E" w:rsidP="00DC1D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44A" w:rsidRDefault="00C4244A">
    <w:pPr>
      <w:pStyle w:val="Header"/>
    </w:pPr>
    <w:r>
      <w:tab/>
    </w:r>
    <w:r>
      <w:ta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73959"/>
    <w:multiLevelType w:val="hybridMultilevel"/>
    <w:tmpl w:val="8A08D53C"/>
    <w:lvl w:ilvl="0" w:tplc="F99A2BAC">
      <w:start w:val="1"/>
      <w:numFmt w:val="bullet"/>
      <w:lvlText w:val="•"/>
      <w:lvlJc w:val="left"/>
      <w:pPr>
        <w:tabs>
          <w:tab w:val="num" w:pos="720"/>
        </w:tabs>
        <w:ind w:left="720" w:hanging="360"/>
      </w:pPr>
      <w:rPr>
        <w:rFonts w:ascii="Arial" w:hAnsi="Arial" w:hint="default"/>
      </w:rPr>
    </w:lvl>
    <w:lvl w:ilvl="1" w:tplc="BF3A9C72">
      <w:start w:val="2874"/>
      <w:numFmt w:val="bullet"/>
      <w:lvlText w:val="•"/>
      <w:lvlJc w:val="left"/>
      <w:pPr>
        <w:tabs>
          <w:tab w:val="num" w:pos="1440"/>
        </w:tabs>
        <w:ind w:left="1440" w:hanging="360"/>
      </w:pPr>
      <w:rPr>
        <w:rFonts w:ascii="Arial" w:hAnsi="Arial" w:hint="default"/>
      </w:rPr>
    </w:lvl>
    <w:lvl w:ilvl="2" w:tplc="32B22F46" w:tentative="1">
      <w:start w:val="1"/>
      <w:numFmt w:val="bullet"/>
      <w:lvlText w:val="•"/>
      <w:lvlJc w:val="left"/>
      <w:pPr>
        <w:tabs>
          <w:tab w:val="num" w:pos="2160"/>
        </w:tabs>
        <w:ind w:left="2160" w:hanging="360"/>
      </w:pPr>
      <w:rPr>
        <w:rFonts w:ascii="Arial" w:hAnsi="Arial" w:hint="default"/>
      </w:rPr>
    </w:lvl>
    <w:lvl w:ilvl="3" w:tplc="2072FE38" w:tentative="1">
      <w:start w:val="1"/>
      <w:numFmt w:val="bullet"/>
      <w:lvlText w:val="•"/>
      <w:lvlJc w:val="left"/>
      <w:pPr>
        <w:tabs>
          <w:tab w:val="num" w:pos="2880"/>
        </w:tabs>
        <w:ind w:left="2880" w:hanging="360"/>
      </w:pPr>
      <w:rPr>
        <w:rFonts w:ascii="Arial" w:hAnsi="Arial" w:hint="default"/>
      </w:rPr>
    </w:lvl>
    <w:lvl w:ilvl="4" w:tplc="3D6CBD64" w:tentative="1">
      <w:start w:val="1"/>
      <w:numFmt w:val="bullet"/>
      <w:lvlText w:val="•"/>
      <w:lvlJc w:val="left"/>
      <w:pPr>
        <w:tabs>
          <w:tab w:val="num" w:pos="3600"/>
        </w:tabs>
        <w:ind w:left="3600" w:hanging="360"/>
      </w:pPr>
      <w:rPr>
        <w:rFonts w:ascii="Arial" w:hAnsi="Arial" w:hint="default"/>
      </w:rPr>
    </w:lvl>
    <w:lvl w:ilvl="5" w:tplc="607A9420" w:tentative="1">
      <w:start w:val="1"/>
      <w:numFmt w:val="bullet"/>
      <w:lvlText w:val="•"/>
      <w:lvlJc w:val="left"/>
      <w:pPr>
        <w:tabs>
          <w:tab w:val="num" w:pos="4320"/>
        </w:tabs>
        <w:ind w:left="4320" w:hanging="360"/>
      </w:pPr>
      <w:rPr>
        <w:rFonts w:ascii="Arial" w:hAnsi="Arial" w:hint="default"/>
      </w:rPr>
    </w:lvl>
    <w:lvl w:ilvl="6" w:tplc="188AD664" w:tentative="1">
      <w:start w:val="1"/>
      <w:numFmt w:val="bullet"/>
      <w:lvlText w:val="•"/>
      <w:lvlJc w:val="left"/>
      <w:pPr>
        <w:tabs>
          <w:tab w:val="num" w:pos="5040"/>
        </w:tabs>
        <w:ind w:left="5040" w:hanging="360"/>
      </w:pPr>
      <w:rPr>
        <w:rFonts w:ascii="Arial" w:hAnsi="Arial" w:hint="default"/>
      </w:rPr>
    </w:lvl>
    <w:lvl w:ilvl="7" w:tplc="33E09DFC" w:tentative="1">
      <w:start w:val="1"/>
      <w:numFmt w:val="bullet"/>
      <w:lvlText w:val="•"/>
      <w:lvlJc w:val="left"/>
      <w:pPr>
        <w:tabs>
          <w:tab w:val="num" w:pos="5760"/>
        </w:tabs>
        <w:ind w:left="5760" w:hanging="360"/>
      </w:pPr>
      <w:rPr>
        <w:rFonts w:ascii="Arial" w:hAnsi="Arial" w:hint="default"/>
      </w:rPr>
    </w:lvl>
    <w:lvl w:ilvl="8" w:tplc="5D4CB892" w:tentative="1">
      <w:start w:val="1"/>
      <w:numFmt w:val="bullet"/>
      <w:lvlText w:val="•"/>
      <w:lvlJc w:val="left"/>
      <w:pPr>
        <w:tabs>
          <w:tab w:val="num" w:pos="6480"/>
        </w:tabs>
        <w:ind w:left="6480" w:hanging="360"/>
      </w:pPr>
      <w:rPr>
        <w:rFonts w:ascii="Arial" w:hAnsi="Arial" w:hint="default"/>
      </w:rPr>
    </w:lvl>
  </w:abstractNum>
  <w:abstractNum w:abstractNumId="1">
    <w:nsid w:val="0FC658C0"/>
    <w:multiLevelType w:val="hybridMultilevel"/>
    <w:tmpl w:val="171E4C88"/>
    <w:lvl w:ilvl="0" w:tplc="79EE19FC">
      <w:start w:val="1"/>
      <w:numFmt w:val="bullet"/>
      <w:lvlText w:val="•"/>
      <w:lvlJc w:val="left"/>
      <w:pPr>
        <w:tabs>
          <w:tab w:val="num" w:pos="720"/>
        </w:tabs>
        <w:ind w:left="720" w:hanging="360"/>
      </w:pPr>
      <w:rPr>
        <w:rFonts w:ascii="Arial" w:hAnsi="Arial" w:hint="default"/>
      </w:rPr>
    </w:lvl>
    <w:lvl w:ilvl="1" w:tplc="57AAB0C2">
      <w:start w:val="2874"/>
      <w:numFmt w:val="bullet"/>
      <w:lvlText w:val="•"/>
      <w:lvlJc w:val="left"/>
      <w:pPr>
        <w:tabs>
          <w:tab w:val="num" w:pos="1440"/>
        </w:tabs>
        <w:ind w:left="1440" w:hanging="360"/>
      </w:pPr>
      <w:rPr>
        <w:rFonts w:ascii="Arial" w:hAnsi="Arial" w:hint="default"/>
      </w:rPr>
    </w:lvl>
    <w:lvl w:ilvl="2" w:tplc="7F069EE2" w:tentative="1">
      <w:start w:val="1"/>
      <w:numFmt w:val="bullet"/>
      <w:lvlText w:val="•"/>
      <w:lvlJc w:val="left"/>
      <w:pPr>
        <w:tabs>
          <w:tab w:val="num" w:pos="2160"/>
        </w:tabs>
        <w:ind w:left="2160" w:hanging="360"/>
      </w:pPr>
      <w:rPr>
        <w:rFonts w:ascii="Arial" w:hAnsi="Arial" w:hint="default"/>
      </w:rPr>
    </w:lvl>
    <w:lvl w:ilvl="3" w:tplc="AD04228A" w:tentative="1">
      <w:start w:val="1"/>
      <w:numFmt w:val="bullet"/>
      <w:lvlText w:val="•"/>
      <w:lvlJc w:val="left"/>
      <w:pPr>
        <w:tabs>
          <w:tab w:val="num" w:pos="2880"/>
        </w:tabs>
        <w:ind w:left="2880" w:hanging="360"/>
      </w:pPr>
      <w:rPr>
        <w:rFonts w:ascii="Arial" w:hAnsi="Arial" w:hint="default"/>
      </w:rPr>
    </w:lvl>
    <w:lvl w:ilvl="4" w:tplc="510C8C22" w:tentative="1">
      <w:start w:val="1"/>
      <w:numFmt w:val="bullet"/>
      <w:lvlText w:val="•"/>
      <w:lvlJc w:val="left"/>
      <w:pPr>
        <w:tabs>
          <w:tab w:val="num" w:pos="3600"/>
        </w:tabs>
        <w:ind w:left="3600" w:hanging="360"/>
      </w:pPr>
      <w:rPr>
        <w:rFonts w:ascii="Arial" w:hAnsi="Arial" w:hint="default"/>
      </w:rPr>
    </w:lvl>
    <w:lvl w:ilvl="5" w:tplc="659C6E74" w:tentative="1">
      <w:start w:val="1"/>
      <w:numFmt w:val="bullet"/>
      <w:lvlText w:val="•"/>
      <w:lvlJc w:val="left"/>
      <w:pPr>
        <w:tabs>
          <w:tab w:val="num" w:pos="4320"/>
        </w:tabs>
        <w:ind w:left="4320" w:hanging="360"/>
      </w:pPr>
      <w:rPr>
        <w:rFonts w:ascii="Arial" w:hAnsi="Arial" w:hint="default"/>
      </w:rPr>
    </w:lvl>
    <w:lvl w:ilvl="6" w:tplc="EE9A2CC8" w:tentative="1">
      <w:start w:val="1"/>
      <w:numFmt w:val="bullet"/>
      <w:lvlText w:val="•"/>
      <w:lvlJc w:val="left"/>
      <w:pPr>
        <w:tabs>
          <w:tab w:val="num" w:pos="5040"/>
        </w:tabs>
        <w:ind w:left="5040" w:hanging="360"/>
      </w:pPr>
      <w:rPr>
        <w:rFonts w:ascii="Arial" w:hAnsi="Arial" w:hint="default"/>
      </w:rPr>
    </w:lvl>
    <w:lvl w:ilvl="7" w:tplc="3D36BD48" w:tentative="1">
      <w:start w:val="1"/>
      <w:numFmt w:val="bullet"/>
      <w:lvlText w:val="•"/>
      <w:lvlJc w:val="left"/>
      <w:pPr>
        <w:tabs>
          <w:tab w:val="num" w:pos="5760"/>
        </w:tabs>
        <w:ind w:left="5760" w:hanging="360"/>
      </w:pPr>
      <w:rPr>
        <w:rFonts w:ascii="Arial" w:hAnsi="Arial" w:hint="default"/>
      </w:rPr>
    </w:lvl>
    <w:lvl w:ilvl="8" w:tplc="1A6044C8" w:tentative="1">
      <w:start w:val="1"/>
      <w:numFmt w:val="bullet"/>
      <w:lvlText w:val="•"/>
      <w:lvlJc w:val="left"/>
      <w:pPr>
        <w:tabs>
          <w:tab w:val="num" w:pos="6480"/>
        </w:tabs>
        <w:ind w:left="6480" w:hanging="360"/>
      </w:pPr>
      <w:rPr>
        <w:rFonts w:ascii="Arial" w:hAnsi="Arial" w:hint="default"/>
      </w:rPr>
    </w:lvl>
  </w:abstractNum>
  <w:abstractNum w:abstractNumId="2">
    <w:nsid w:val="11D26145"/>
    <w:multiLevelType w:val="hybridMultilevel"/>
    <w:tmpl w:val="DE34F14A"/>
    <w:lvl w:ilvl="0" w:tplc="57A8337A">
      <w:start w:val="1"/>
      <w:numFmt w:val="bullet"/>
      <w:lvlText w:val="•"/>
      <w:lvlJc w:val="left"/>
      <w:pPr>
        <w:tabs>
          <w:tab w:val="num" w:pos="720"/>
        </w:tabs>
        <w:ind w:left="720" w:hanging="360"/>
      </w:pPr>
      <w:rPr>
        <w:rFonts w:ascii="Arial" w:hAnsi="Arial" w:hint="default"/>
      </w:rPr>
    </w:lvl>
    <w:lvl w:ilvl="1" w:tplc="1CA0955C">
      <w:start w:val="2874"/>
      <w:numFmt w:val="bullet"/>
      <w:lvlText w:val="•"/>
      <w:lvlJc w:val="left"/>
      <w:pPr>
        <w:tabs>
          <w:tab w:val="num" w:pos="1440"/>
        </w:tabs>
        <w:ind w:left="1440" w:hanging="360"/>
      </w:pPr>
      <w:rPr>
        <w:rFonts w:ascii="Arial" w:hAnsi="Arial" w:hint="default"/>
      </w:rPr>
    </w:lvl>
    <w:lvl w:ilvl="2" w:tplc="93524CAA" w:tentative="1">
      <w:start w:val="1"/>
      <w:numFmt w:val="bullet"/>
      <w:lvlText w:val="•"/>
      <w:lvlJc w:val="left"/>
      <w:pPr>
        <w:tabs>
          <w:tab w:val="num" w:pos="2160"/>
        </w:tabs>
        <w:ind w:left="2160" w:hanging="360"/>
      </w:pPr>
      <w:rPr>
        <w:rFonts w:ascii="Arial" w:hAnsi="Arial" w:hint="default"/>
      </w:rPr>
    </w:lvl>
    <w:lvl w:ilvl="3" w:tplc="7F80E098" w:tentative="1">
      <w:start w:val="1"/>
      <w:numFmt w:val="bullet"/>
      <w:lvlText w:val="•"/>
      <w:lvlJc w:val="left"/>
      <w:pPr>
        <w:tabs>
          <w:tab w:val="num" w:pos="2880"/>
        </w:tabs>
        <w:ind w:left="2880" w:hanging="360"/>
      </w:pPr>
      <w:rPr>
        <w:rFonts w:ascii="Arial" w:hAnsi="Arial" w:hint="default"/>
      </w:rPr>
    </w:lvl>
    <w:lvl w:ilvl="4" w:tplc="DC6C9984" w:tentative="1">
      <w:start w:val="1"/>
      <w:numFmt w:val="bullet"/>
      <w:lvlText w:val="•"/>
      <w:lvlJc w:val="left"/>
      <w:pPr>
        <w:tabs>
          <w:tab w:val="num" w:pos="3600"/>
        </w:tabs>
        <w:ind w:left="3600" w:hanging="360"/>
      </w:pPr>
      <w:rPr>
        <w:rFonts w:ascii="Arial" w:hAnsi="Arial" w:hint="default"/>
      </w:rPr>
    </w:lvl>
    <w:lvl w:ilvl="5" w:tplc="FE2A391E" w:tentative="1">
      <w:start w:val="1"/>
      <w:numFmt w:val="bullet"/>
      <w:lvlText w:val="•"/>
      <w:lvlJc w:val="left"/>
      <w:pPr>
        <w:tabs>
          <w:tab w:val="num" w:pos="4320"/>
        </w:tabs>
        <w:ind w:left="4320" w:hanging="360"/>
      </w:pPr>
      <w:rPr>
        <w:rFonts w:ascii="Arial" w:hAnsi="Arial" w:hint="default"/>
      </w:rPr>
    </w:lvl>
    <w:lvl w:ilvl="6" w:tplc="AFA82C12" w:tentative="1">
      <w:start w:val="1"/>
      <w:numFmt w:val="bullet"/>
      <w:lvlText w:val="•"/>
      <w:lvlJc w:val="left"/>
      <w:pPr>
        <w:tabs>
          <w:tab w:val="num" w:pos="5040"/>
        </w:tabs>
        <w:ind w:left="5040" w:hanging="360"/>
      </w:pPr>
      <w:rPr>
        <w:rFonts w:ascii="Arial" w:hAnsi="Arial" w:hint="default"/>
      </w:rPr>
    </w:lvl>
    <w:lvl w:ilvl="7" w:tplc="0544499E" w:tentative="1">
      <w:start w:val="1"/>
      <w:numFmt w:val="bullet"/>
      <w:lvlText w:val="•"/>
      <w:lvlJc w:val="left"/>
      <w:pPr>
        <w:tabs>
          <w:tab w:val="num" w:pos="5760"/>
        </w:tabs>
        <w:ind w:left="5760" w:hanging="360"/>
      </w:pPr>
      <w:rPr>
        <w:rFonts w:ascii="Arial" w:hAnsi="Arial" w:hint="default"/>
      </w:rPr>
    </w:lvl>
    <w:lvl w:ilvl="8" w:tplc="C4FCAB4E" w:tentative="1">
      <w:start w:val="1"/>
      <w:numFmt w:val="bullet"/>
      <w:lvlText w:val="•"/>
      <w:lvlJc w:val="left"/>
      <w:pPr>
        <w:tabs>
          <w:tab w:val="num" w:pos="6480"/>
        </w:tabs>
        <w:ind w:left="6480" w:hanging="360"/>
      </w:pPr>
      <w:rPr>
        <w:rFonts w:ascii="Arial" w:hAnsi="Arial" w:hint="default"/>
      </w:rPr>
    </w:lvl>
  </w:abstractNum>
  <w:abstractNum w:abstractNumId="3">
    <w:nsid w:val="12C67AD2"/>
    <w:multiLevelType w:val="hybridMultilevel"/>
    <w:tmpl w:val="3208B1D8"/>
    <w:lvl w:ilvl="0" w:tplc="5C7804DA">
      <w:start w:val="1"/>
      <w:numFmt w:val="bullet"/>
      <w:lvlText w:val="•"/>
      <w:lvlJc w:val="left"/>
      <w:pPr>
        <w:tabs>
          <w:tab w:val="num" w:pos="720"/>
        </w:tabs>
        <w:ind w:left="720" w:hanging="360"/>
      </w:pPr>
      <w:rPr>
        <w:rFonts w:ascii="Arial" w:hAnsi="Arial" w:hint="default"/>
      </w:rPr>
    </w:lvl>
    <w:lvl w:ilvl="1" w:tplc="6B285338">
      <w:start w:val="4653"/>
      <w:numFmt w:val="bullet"/>
      <w:lvlText w:val="•"/>
      <w:lvlJc w:val="left"/>
      <w:pPr>
        <w:tabs>
          <w:tab w:val="num" w:pos="1440"/>
        </w:tabs>
        <w:ind w:left="1440" w:hanging="360"/>
      </w:pPr>
      <w:rPr>
        <w:rFonts w:ascii="Arial" w:hAnsi="Arial" w:hint="default"/>
      </w:rPr>
    </w:lvl>
    <w:lvl w:ilvl="2" w:tplc="1F3C878A">
      <w:start w:val="4653"/>
      <w:numFmt w:val="bullet"/>
      <w:lvlText w:val="•"/>
      <w:lvlJc w:val="left"/>
      <w:pPr>
        <w:tabs>
          <w:tab w:val="num" w:pos="2160"/>
        </w:tabs>
        <w:ind w:left="2160" w:hanging="360"/>
      </w:pPr>
      <w:rPr>
        <w:rFonts w:ascii="Arial" w:hAnsi="Arial" w:hint="default"/>
      </w:rPr>
    </w:lvl>
    <w:lvl w:ilvl="3" w:tplc="5BC2B1D4" w:tentative="1">
      <w:start w:val="1"/>
      <w:numFmt w:val="bullet"/>
      <w:lvlText w:val="•"/>
      <w:lvlJc w:val="left"/>
      <w:pPr>
        <w:tabs>
          <w:tab w:val="num" w:pos="2880"/>
        </w:tabs>
        <w:ind w:left="2880" w:hanging="360"/>
      </w:pPr>
      <w:rPr>
        <w:rFonts w:ascii="Arial" w:hAnsi="Arial" w:hint="default"/>
      </w:rPr>
    </w:lvl>
    <w:lvl w:ilvl="4" w:tplc="AA700052" w:tentative="1">
      <w:start w:val="1"/>
      <w:numFmt w:val="bullet"/>
      <w:lvlText w:val="•"/>
      <w:lvlJc w:val="left"/>
      <w:pPr>
        <w:tabs>
          <w:tab w:val="num" w:pos="3600"/>
        </w:tabs>
        <w:ind w:left="3600" w:hanging="360"/>
      </w:pPr>
      <w:rPr>
        <w:rFonts w:ascii="Arial" w:hAnsi="Arial" w:hint="default"/>
      </w:rPr>
    </w:lvl>
    <w:lvl w:ilvl="5" w:tplc="BBECE9E4" w:tentative="1">
      <w:start w:val="1"/>
      <w:numFmt w:val="bullet"/>
      <w:lvlText w:val="•"/>
      <w:lvlJc w:val="left"/>
      <w:pPr>
        <w:tabs>
          <w:tab w:val="num" w:pos="4320"/>
        </w:tabs>
        <w:ind w:left="4320" w:hanging="360"/>
      </w:pPr>
      <w:rPr>
        <w:rFonts w:ascii="Arial" w:hAnsi="Arial" w:hint="default"/>
      </w:rPr>
    </w:lvl>
    <w:lvl w:ilvl="6" w:tplc="8BEAF9F2" w:tentative="1">
      <w:start w:val="1"/>
      <w:numFmt w:val="bullet"/>
      <w:lvlText w:val="•"/>
      <w:lvlJc w:val="left"/>
      <w:pPr>
        <w:tabs>
          <w:tab w:val="num" w:pos="5040"/>
        </w:tabs>
        <w:ind w:left="5040" w:hanging="360"/>
      </w:pPr>
      <w:rPr>
        <w:rFonts w:ascii="Arial" w:hAnsi="Arial" w:hint="default"/>
      </w:rPr>
    </w:lvl>
    <w:lvl w:ilvl="7" w:tplc="58AE6834" w:tentative="1">
      <w:start w:val="1"/>
      <w:numFmt w:val="bullet"/>
      <w:lvlText w:val="•"/>
      <w:lvlJc w:val="left"/>
      <w:pPr>
        <w:tabs>
          <w:tab w:val="num" w:pos="5760"/>
        </w:tabs>
        <w:ind w:left="5760" w:hanging="360"/>
      </w:pPr>
      <w:rPr>
        <w:rFonts w:ascii="Arial" w:hAnsi="Arial" w:hint="default"/>
      </w:rPr>
    </w:lvl>
    <w:lvl w:ilvl="8" w:tplc="F15C0EF2" w:tentative="1">
      <w:start w:val="1"/>
      <w:numFmt w:val="bullet"/>
      <w:lvlText w:val="•"/>
      <w:lvlJc w:val="left"/>
      <w:pPr>
        <w:tabs>
          <w:tab w:val="num" w:pos="6480"/>
        </w:tabs>
        <w:ind w:left="6480" w:hanging="360"/>
      </w:pPr>
      <w:rPr>
        <w:rFonts w:ascii="Arial" w:hAnsi="Arial" w:hint="default"/>
      </w:rPr>
    </w:lvl>
  </w:abstractNum>
  <w:abstractNum w:abstractNumId="4">
    <w:nsid w:val="193C50DA"/>
    <w:multiLevelType w:val="hybridMultilevel"/>
    <w:tmpl w:val="0D2A641A"/>
    <w:lvl w:ilvl="0" w:tplc="9C40CED2">
      <w:start w:val="1"/>
      <w:numFmt w:val="bullet"/>
      <w:lvlText w:val="•"/>
      <w:lvlJc w:val="left"/>
      <w:pPr>
        <w:tabs>
          <w:tab w:val="num" w:pos="720"/>
        </w:tabs>
        <w:ind w:left="720" w:hanging="360"/>
      </w:pPr>
      <w:rPr>
        <w:rFonts w:ascii="Arial" w:hAnsi="Arial" w:hint="default"/>
      </w:rPr>
    </w:lvl>
    <w:lvl w:ilvl="1" w:tplc="04800608">
      <w:start w:val="4296"/>
      <w:numFmt w:val="bullet"/>
      <w:lvlText w:val="•"/>
      <w:lvlJc w:val="left"/>
      <w:pPr>
        <w:tabs>
          <w:tab w:val="num" w:pos="450"/>
        </w:tabs>
        <w:ind w:left="450" w:hanging="360"/>
      </w:pPr>
      <w:rPr>
        <w:rFonts w:ascii="Arial" w:hAnsi="Arial" w:hint="default"/>
      </w:rPr>
    </w:lvl>
    <w:lvl w:ilvl="2" w:tplc="C4A0AB18" w:tentative="1">
      <w:start w:val="1"/>
      <w:numFmt w:val="bullet"/>
      <w:lvlText w:val="•"/>
      <w:lvlJc w:val="left"/>
      <w:pPr>
        <w:tabs>
          <w:tab w:val="num" w:pos="2160"/>
        </w:tabs>
        <w:ind w:left="2160" w:hanging="360"/>
      </w:pPr>
      <w:rPr>
        <w:rFonts w:ascii="Arial" w:hAnsi="Arial" w:hint="default"/>
      </w:rPr>
    </w:lvl>
    <w:lvl w:ilvl="3" w:tplc="6C28941E" w:tentative="1">
      <w:start w:val="1"/>
      <w:numFmt w:val="bullet"/>
      <w:lvlText w:val="•"/>
      <w:lvlJc w:val="left"/>
      <w:pPr>
        <w:tabs>
          <w:tab w:val="num" w:pos="2880"/>
        </w:tabs>
        <w:ind w:left="2880" w:hanging="360"/>
      </w:pPr>
      <w:rPr>
        <w:rFonts w:ascii="Arial" w:hAnsi="Arial" w:hint="default"/>
      </w:rPr>
    </w:lvl>
    <w:lvl w:ilvl="4" w:tplc="C546A85A" w:tentative="1">
      <w:start w:val="1"/>
      <w:numFmt w:val="bullet"/>
      <w:lvlText w:val="•"/>
      <w:lvlJc w:val="left"/>
      <w:pPr>
        <w:tabs>
          <w:tab w:val="num" w:pos="3600"/>
        </w:tabs>
        <w:ind w:left="3600" w:hanging="360"/>
      </w:pPr>
      <w:rPr>
        <w:rFonts w:ascii="Arial" w:hAnsi="Arial" w:hint="default"/>
      </w:rPr>
    </w:lvl>
    <w:lvl w:ilvl="5" w:tplc="2BF4979E" w:tentative="1">
      <w:start w:val="1"/>
      <w:numFmt w:val="bullet"/>
      <w:lvlText w:val="•"/>
      <w:lvlJc w:val="left"/>
      <w:pPr>
        <w:tabs>
          <w:tab w:val="num" w:pos="4320"/>
        </w:tabs>
        <w:ind w:left="4320" w:hanging="360"/>
      </w:pPr>
      <w:rPr>
        <w:rFonts w:ascii="Arial" w:hAnsi="Arial" w:hint="default"/>
      </w:rPr>
    </w:lvl>
    <w:lvl w:ilvl="6" w:tplc="057000BA" w:tentative="1">
      <w:start w:val="1"/>
      <w:numFmt w:val="bullet"/>
      <w:lvlText w:val="•"/>
      <w:lvlJc w:val="left"/>
      <w:pPr>
        <w:tabs>
          <w:tab w:val="num" w:pos="5040"/>
        </w:tabs>
        <w:ind w:left="5040" w:hanging="360"/>
      </w:pPr>
      <w:rPr>
        <w:rFonts w:ascii="Arial" w:hAnsi="Arial" w:hint="default"/>
      </w:rPr>
    </w:lvl>
    <w:lvl w:ilvl="7" w:tplc="606EB264" w:tentative="1">
      <w:start w:val="1"/>
      <w:numFmt w:val="bullet"/>
      <w:lvlText w:val="•"/>
      <w:lvlJc w:val="left"/>
      <w:pPr>
        <w:tabs>
          <w:tab w:val="num" w:pos="5760"/>
        </w:tabs>
        <w:ind w:left="5760" w:hanging="360"/>
      </w:pPr>
      <w:rPr>
        <w:rFonts w:ascii="Arial" w:hAnsi="Arial" w:hint="default"/>
      </w:rPr>
    </w:lvl>
    <w:lvl w:ilvl="8" w:tplc="36AA83A0" w:tentative="1">
      <w:start w:val="1"/>
      <w:numFmt w:val="bullet"/>
      <w:lvlText w:val="•"/>
      <w:lvlJc w:val="left"/>
      <w:pPr>
        <w:tabs>
          <w:tab w:val="num" w:pos="6480"/>
        </w:tabs>
        <w:ind w:left="6480" w:hanging="360"/>
      </w:pPr>
      <w:rPr>
        <w:rFonts w:ascii="Arial" w:hAnsi="Arial" w:hint="default"/>
      </w:rPr>
    </w:lvl>
  </w:abstractNum>
  <w:abstractNum w:abstractNumId="5">
    <w:nsid w:val="1B5B2C33"/>
    <w:multiLevelType w:val="hybridMultilevel"/>
    <w:tmpl w:val="B3EE2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3128D9"/>
    <w:multiLevelType w:val="multilevel"/>
    <w:tmpl w:val="6CBE2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D659E7"/>
    <w:multiLevelType w:val="hybridMultilevel"/>
    <w:tmpl w:val="6C847144"/>
    <w:lvl w:ilvl="0" w:tplc="96B887A6">
      <w:start w:val="1"/>
      <w:numFmt w:val="bullet"/>
      <w:lvlText w:val="•"/>
      <w:lvlJc w:val="left"/>
      <w:pPr>
        <w:tabs>
          <w:tab w:val="num" w:pos="720"/>
        </w:tabs>
        <w:ind w:left="720" w:hanging="360"/>
      </w:pPr>
      <w:rPr>
        <w:rFonts w:ascii="Arial" w:hAnsi="Arial" w:hint="default"/>
      </w:rPr>
    </w:lvl>
    <w:lvl w:ilvl="1" w:tplc="8F6EE3EE">
      <w:start w:val="2816"/>
      <w:numFmt w:val="bullet"/>
      <w:lvlText w:val="•"/>
      <w:lvlJc w:val="left"/>
      <w:pPr>
        <w:tabs>
          <w:tab w:val="num" w:pos="1440"/>
        </w:tabs>
        <w:ind w:left="1440" w:hanging="360"/>
      </w:pPr>
      <w:rPr>
        <w:rFonts w:ascii="Arial" w:hAnsi="Arial" w:hint="default"/>
      </w:rPr>
    </w:lvl>
    <w:lvl w:ilvl="2" w:tplc="CB225E4A">
      <w:start w:val="2816"/>
      <w:numFmt w:val="bullet"/>
      <w:lvlText w:val="•"/>
      <w:lvlJc w:val="left"/>
      <w:pPr>
        <w:tabs>
          <w:tab w:val="num" w:pos="2160"/>
        </w:tabs>
        <w:ind w:left="2160" w:hanging="360"/>
      </w:pPr>
      <w:rPr>
        <w:rFonts w:ascii="Arial" w:hAnsi="Arial" w:hint="default"/>
      </w:rPr>
    </w:lvl>
    <w:lvl w:ilvl="3" w:tplc="915CEA5A" w:tentative="1">
      <w:start w:val="1"/>
      <w:numFmt w:val="bullet"/>
      <w:lvlText w:val="•"/>
      <w:lvlJc w:val="left"/>
      <w:pPr>
        <w:tabs>
          <w:tab w:val="num" w:pos="2880"/>
        </w:tabs>
        <w:ind w:left="2880" w:hanging="360"/>
      </w:pPr>
      <w:rPr>
        <w:rFonts w:ascii="Arial" w:hAnsi="Arial" w:hint="default"/>
      </w:rPr>
    </w:lvl>
    <w:lvl w:ilvl="4" w:tplc="FBEC0E78" w:tentative="1">
      <w:start w:val="1"/>
      <w:numFmt w:val="bullet"/>
      <w:lvlText w:val="•"/>
      <w:lvlJc w:val="left"/>
      <w:pPr>
        <w:tabs>
          <w:tab w:val="num" w:pos="3600"/>
        </w:tabs>
        <w:ind w:left="3600" w:hanging="360"/>
      </w:pPr>
      <w:rPr>
        <w:rFonts w:ascii="Arial" w:hAnsi="Arial" w:hint="default"/>
      </w:rPr>
    </w:lvl>
    <w:lvl w:ilvl="5" w:tplc="73D04FCA" w:tentative="1">
      <w:start w:val="1"/>
      <w:numFmt w:val="bullet"/>
      <w:lvlText w:val="•"/>
      <w:lvlJc w:val="left"/>
      <w:pPr>
        <w:tabs>
          <w:tab w:val="num" w:pos="4320"/>
        </w:tabs>
        <w:ind w:left="4320" w:hanging="360"/>
      </w:pPr>
      <w:rPr>
        <w:rFonts w:ascii="Arial" w:hAnsi="Arial" w:hint="default"/>
      </w:rPr>
    </w:lvl>
    <w:lvl w:ilvl="6" w:tplc="6ADE3D92" w:tentative="1">
      <w:start w:val="1"/>
      <w:numFmt w:val="bullet"/>
      <w:lvlText w:val="•"/>
      <w:lvlJc w:val="left"/>
      <w:pPr>
        <w:tabs>
          <w:tab w:val="num" w:pos="5040"/>
        </w:tabs>
        <w:ind w:left="5040" w:hanging="360"/>
      </w:pPr>
      <w:rPr>
        <w:rFonts w:ascii="Arial" w:hAnsi="Arial" w:hint="default"/>
      </w:rPr>
    </w:lvl>
    <w:lvl w:ilvl="7" w:tplc="61A8BEDE" w:tentative="1">
      <w:start w:val="1"/>
      <w:numFmt w:val="bullet"/>
      <w:lvlText w:val="•"/>
      <w:lvlJc w:val="left"/>
      <w:pPr>
        <w:tabs>
          <w:tab w:val="num" w:pos="5760"/>
        </w:tabs>
        <w:ind w:left="5760" w:hanging="360"/>
      </w:pPr>
      <w:rPr>
        <w:rFonts w:ascii="Arial" w:hAnsi="Arial" w:hint="default"/>
      </w:rPr>
    </w:lvl>
    <w:lvl w:ilvl="8" w:tplc="FF701A6A" w:tentative="1">
      <w:start w:val="1"/>
      <w:numFmt w:val="bullet"/>
      <w:lvlText w:val="•"/>
      <w:lvlJc w:val="left"/>
      <w:pPr>
        <w:tabs>
          <w:tab w:val="num" w:pos="6480"/>
        </w:tabs>
        <w:ind w:left="6480" w:hanging="360"/>
      </w:pPr>
      <w:rPr>
        <w:rFonts w:ascii="Arial" w:hAnsi="Arial" w:hint="default"/>
      </w:rPr>
    </w:lvl>
  </w:abstractNum>
  <w:abstractNum w:abstractNumId="8">
    <w:nsid w:val="305F764C"/>
    <w:multiLevelType w:val="multilevel"/>
    <w:tmpl w:val="30D6D3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4C1F07"/>
    <w:multiLevelType w:val="multilevel"/>
    <w:tmpl w:val="F93277A0"/>
    <w:lvl w:ilvl="0">
      <w:start w:val="1"/>
      <w:numFmt w:val="bullet"/>
      <w:lvlText w:val="●"/>
      <w:lvlJc w:val="left"/>
      <w:pPr>
        <w:ind w:left="720" w:hanging="360"/>
      </w:pPr>
      <w:rPr>
        <w:rFonts w:ascii="Arial" w:eastAsia="Arial" w:hAnsi="Arial" w:cs="Arial"/>
        <w:b w:val="0"/>
        <w:i w:val="0"/>
        <w:smallCaps w:val="0"/>
        <w:strike w:val="0"/>
        <w:color w:val="000000"/>
        <w:sz w:val="20"/>
        <w:szCs w:val="20"/>
        <w:highlight w:val="white"/>
        <w:u w:val="none"/>
        <w:vertAlign w:val="baseline"/>
      </w:rPr>
    </w:lvl>
    <w:lvl w:ilvl="1">
      <w:start w:val="1"/>
      <w:numFmt w:val="bullet"/>
      <w:lvlText w:val="○"/>
      <w:lvlJc w:val="left"/>
      <w:pPr>
        <w:ind w:left="360" w:hanging="360"/>
      </w:pPr>
      <w:rPr>
        <w:rFonts w:ascii="Arial" w:eastAsia="Arial" w:hAnsi="Arial" w:cs="Arial"/>
        <w:b w:val="0"/>
        <w:i w:val="0"/>
        <w:smallCaps w:val="0"/>
        <w:strike w:val="0"/>
        <w:color w:val="000000"/>
        <w:sz w:val="20"/>
        <w:szCs w:val="20"/>
        <w:highlight w:val="white"/>
        <w:u w:val="none"/>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0"/>
        <w:szCs w:val="20"/>
        <w:highlight w:val="white"/>
        <w:u w:val="none"/>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0"/>
        <w:szCs w:val="20"/>
        <w:highlight w:val="white"/>
        <w:u w:val="none"/>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0"/>
        <w:szCs w:val="20"/>
        <w:highlight w:val="white"/>
        <w:u w:val="none"/>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0"/>
        <w:szCs w:val="20"/>
        <w:highlight w:val="white"/>
        <w:u w:val="none"/>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0"/>
        <w:szCs w:val="20"/>
        <w:highlight w:val="white"/>
        <w:u w:val="none"/>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0"/>
        <w:szCs w:val="20"/>
        <w:highlight w:val="white"/>
        <w:u w:val="none"/>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0"/>
        <w:szCs w:val="20"/>
        <w:highlight w:val="white"/>
        <w:u w:val="none"/>
        <w:vertAlign w:val="baseline"/>
      </w:rPr>
    </w:lvl>
  </w:abstractNum>
  <w:abstractNum w:abstractNumId="10">
    <w:nsid w:val="46514DCC"/>
    <w:multiLevelType w:val="hybridMultilevel"/>
    <w:tmpl w:val="B24EE32C"/>
    <w:lvl w:ilvl="0" w:tplc="CA165D58">
      <w:start w:val="1"/>
      <w:numFmt w:val="bullet"/>
      <w:lvlText w:val="•"/>
      <w:lvlJc w:val="left"/>
      <w:pPr>
        <w:tabs>
          <w:tab w:val="num" w:pos="720"/>
        </w:tabs>
        <w:ind w:left="720" w:hanging="360"/>
      </w:pPr>
      <w:rPr>
        <w:rFonts w:ascii="Arial" w:hAnsi="Arial" w:hint="default"/>
      </w:rPr>
    </w:lvl>
    <w:lvl w:ilvl="1" w:tplc="4EFC71FC">
      <w:start w:val="2874"/>
      <w:numFmt w:val="bullet"/>
      <w:lvlText w:val="•"/>
      <w:lvlJc w:val="left"/>
      <w:pPr>
        <w:tabs>
          <w:tab w:val="num" w:pos="1440"/>
        </w:tabs>
        <w:ind w:left="1440" w:hanging="360"/>
      </w:pPr>
      <w:rPr>
        <w:rFonts w:ascii="Arial" w:hAnsi="Arial" w:hint="default"/>
      </w:rPr>
    </w:lvl>
    <w:lvl w:ilvl="2" w:tplc="4212F7DC" w:tentative="1">
      <w:start w:val="1"/>
      <w:numFmt w:val="bullet"/>
      <w:lvlText w:val="•"/>
      <w:lvlJc w:val="left"/>
      <w:pPr>
        <w:tabs>
          <w:tab w:val="num" w:pos="2160"/>
        </w:tabs>
        <w:ind w:left="2160" w:hanging="360"/>
      </w:pPr>
      <w:rPr>
        <w:rFonts w:ascii="Arial" w:hAnsi="Arial" w:hint="default"/>
      </w:rPr>
    </w:lvl>
    <w:lvl w:ilvl="3" w:tplc="6302A534" w:tentative="1">
      <w:start w:val="1"/>
      <w:numFmt w:val="bullet"/>
      <w:lvlText w:val="•"/>
      <w:lvlJc w:val="left"/>
      <w:pPr>
        <w:tabs>
          <w:tab w:val="num" w:pos="2880"/>
        </w:tabs>
        <w:ind w:left="2880" w:hanging="360"/>
      </w:pPr>
      <w:rPr>
        <w:rFonts w:ascii="Arial" w:hAnsi="Arial" w:hint="default"/>
      </w:rPr>
    </w:lvl>
    <w:lvl w:ilvl="4" w:tplc="442C9830" w:tentative="1">
      <w:start w:val="1"/>
      <w:numFmt w:val="bullet"/>
      <w:lvlText w:val="•"/>
      <w:lvlJc w:val="left"/>
      <w:pPr>
        <w:tabs>
          <w:tab w:val="num" w:pos="3600"/>
        </w:tabs>
        <w:ind w:left="3600" w:hanging="360"/>
      </w:pPr>
      <w:rPr>
        <w:rFonts w:ascii="Arial" w:hAnsi="Arial" w:hint="default"/>
      </w:rPr>
    </w:lvl>
    <w:lvl w:ilvl="5" w:tplc="FF1C87B6" w:tentative="1">
      <w:start w:val="1"/>
      <w:numFmt w:val="bullet"/>
      <w:lvlText w:val="•"/>
      <w:lvlJc w:val="left"/>
      <w:pPr>
        <w:tabs>
          <w:tab w:val="num" w:pos="4320"/>
        </w:tabs>
        <w:ind w:left="4320" w:hanging="360"/>
      </w:pPr>
      <w:rPr>
        <w:rFonts w:ascii="Arial" w:hAnsi="Arial" w:hint="default"/>
      </w:rPr>
    </w:lvl>
    <w:lvl w:ilvl="6" w:tplc="EDD8190E" w:tentative="1">
      <w:start w:val="1"/>
      <w:numFmt w:val="bullet"/>
      <w:lvlText w:val="•"/>
      <w:lvlJc w:val="left"/>
      <w:pPr>
        <w:tabs>
          <w:tab w:val="num" w:pos="5040"/>
        </w:tabs>
        <w:ind w:left="5040" w:hanging="360"/>
      </w:pPr>
      <w:rPr>
        <w:rFonts w:ascii="Arial" w:hAnsi="Arial" w:hint="default"/>
      </w:rPr>
    </w:lvl>
    <w:lvl w:ilvl="7" w:tplc="9F4A5628" w:tentative="1">
      <w:start w:val="1"/>
      <w:numFmt w:val="bullet"/>
      <w:lvlText w:val="•"/>
      <w:lvlJc w:val="left"/>
      <w:pPr>
        <w:tabs>
          <w:tab w:val="num" w:pos="5760"/>
        </w:tabs>
        <w:ind w:left="5760" w:hanging="360"/>
      </w:pPr>
      <w:rPr>
        <w:rFonts w:ascii="Arial" w:hAnsi="Arial" w:hint="default"/>
      </w:rPr>
    </w:lvl>
    <w:lvl w:ilvl="8" w:tplc="B61E12A8" w:tentative="1">
      <w:start w:val="1"/>
      <w:numFmt w:val="bullet"/>
      <w:lvlText w:val="•"/>
      <w:lvlJc w:val="left"/>
      <w:pPr>
        <w:tabs>
          <w:tab w:val="num" w:pos="6480"/>
        </w:tabs>
        <w:ind w:left="6480" w:hanging="360"/>
      </w:pPr>
      <w:rPr>
        <w:rFonts w:ascii="Arial" w:hAnsi="Arial" w:hint="default"/>
      </w:rPr>
    </w:lvl>
  </w:abstractNum>
  <w:abstractNum w:abstractNumId="11">
    <w:nsid w:val="4A962DBB"/>
    <w:multiLevelType w:val="multilevel"/>
    <w:tmpl w:val="2134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CB21A5D"/>
    <w:multiLevelType w:val="hybridMultilevel"/>
    <w:tmpl w:val="2D4AEB30"/>
    <w:lvl w:ilvl="0" w:tplc="4580B04E">
      <w:start w:val="1"/>
      <w:numFmt w:val="bullet"/>
      <w:lvlText w:val="•"/>
      <w:lvlJc w:val="left"/>
      <w:pPr>
        <w:tabs>
          <w:tab w:val="num" w:pos="720"/>
        </w:tabs>
        <w:ind w:left="720" w:hanging="360"/>
      </w:pPr>
      <w:rPr>
        <w:rFonts w:ascii="Arial" w:hAnsi="Arial" w:hint="default"/>
      </w:rPr>
    </w:lvl>
    <w:lvl w:ilvl="1" w:tplc="2E18D276">
      <w:start w:val="2874"/>
      <w:numFmt w:val="bullet"/>
      <w:lvlText w:val="•"/>
      <w:lvlJc w:val="left"/>
      <w:pPr>
        <w:tabs>
          <w:tab w:val="num" w:pos="1440"/>
        </w:tabs>
        <w:ind w:left="1440" w:hanging="360"/>
      </w:pPr>
      <w:rPr>
        <w:rFonts w:ascii="Arial" w:hAnsi="Arial" w:hint="default"/>
      </w:rPr>
    </w:lvl>
    <w:lvl w:ilvl="2" w:tplc="94863FA2" w:tentative="1">
      <w:start w:val="1"/>
      <w:numFmt w:val="bullet"/>
      <w:lvlText w:val="•"/>
      <w:lvlJc w:val="left"/>
      <w:pPr>
        <w:tabs>
          <w:tab w:val="num" w:pos="2160"/>
        </w:tabs>
        <w:ind w:left="2160" w:hanging="360"/>
      </w:pPr>
      <w:rPr>
        <w:rFonts w:ascii="Arial" w:hAnsi="Arial" w:hint="default"/>
      </w:rPr>
    </w:lvl>
    <w:lvl w:ilvl="3" w:tplc="BA26C1A4" w:tentative="1">
      <w:start w:val="1"/>
      <w:numFmt w:val="bullet"/>
      <w:lvlText w:val="•"/>
      <w:lvlJc w:val="left"/>
      <w:pPr>
        <w:tabs>
          <w:tab w:val="num" w:pos="2880"/>
        </w:tabs>
        <w:ind w:left="2880" w:hanging="360"/>
      </w:pPr>
      <w:rPr>
        <w:rFonts w:ascii="Arial" w:hAnsi="Arial" w:hint="default"/>
      </w:rPr>
    </w:lvl>
    <w:lvl w:ilvl="4" w:tplc="3406293E" w:tentative="1">
      <w:start w:val="1"/>
      <w:numFmt w:val="bullet"/>
      <w:lvlText w:val="•"/>
      <w:lvlJc w:val="left"/>
      <w:pPr>
        <w:tabs>
          <w:tab w:val="num" w:pos="3600"/>
        </w:tabs>
        <w:ind w:left="3600" w:hanging="360"/>
      </w:pPr>
      <w:rPr>
        <w:rFonts w:ascii="Arial" w:hAnsi="Arial" w:hint="default"/>
      </w:rPr>
    </w:lvl>
    <w:lvl w:ilvl="5" w:tplc="9C4CB7F8" w:tentative="1">
      <w:start w:val="1"/>
      <w:numFmt w:val="bullet"/>
      <w:lvlText w:val="•"/>
      <w:lvlJc w:val="left"/>
      <w:pPr>
        <w:tabs>
          <w:tab w:val="num" w:pos="4320"/>
        </w:tabs>
        <w:ind w:left="4320" w:hanging="360"/>
      </w:pPr>
      <w:rPr>
        <w:rFonts w:ascii="Arial" w:hAnsi="Arial" w:hint="default"/>
      </w:rPr>
    </w:lvl>
    <w:lvl w:ilvl="6" w:tplc="59F2350C" w:tentative="1">
      <w:start w:val="1"/>
      <w:numFmt w:val="bullet"/>
      <w:lvlText w:val="•"/>
      <w:lvlJc w:val="left"/>
      <w:pPr>
        <w:tabs>
          <w:tab w:val="num" w:pos="5040"/>
        </w:tabs>
        <w:ind w:left="5040" w:hanging="360"/>
      </w:pPr>
      <w:rPr>
        <w:rFonts w:ascii="Arial" w:hAnsi="Arial" w:hint="default"/>
      </w:rPr>
    </w:lvl>
    <w:lvl w:ilvl="7" w:tplc="74E86B3A" w:tentative="1">
      <w:start w:val="1"/>
      <w:numFmt w:val="bullet"/>
      <w:lvlText w:val="•"/>
      <w:lvlJc w:val="left"/>
      <w:pPr>
        <w:tabs>
          <w:tab w:val="num" w:pos="5760"/>
        </w:tabs>
        <w:ind w:left="5760" w:hanging="360"/>
      </w:pPr>
      <w:rPr>
        <w:rFonts w:ascii="Arial" w:hAnsi="Arial" w:hint="default"/>
      </w:rPr>
    </w:lvl>
    <w:lvl w:ilvl="8" w:tplc="FAB4648A" w:tentative="1">
      <w:start w:val="1"/>
      <w:numFmt w:val="bullet"/>
      <w:lvlText w:val="•"/>
      <w:lvlJc w:val="left"/>
      <w:pPr>
        <w:tabs>
          <w:tab w:val="num" w:pos="6480"/>
        </w:tabs>
        <w:ind w:left="6480" w:hanging="360"/>
      </w:pPr>
      <w:rPr>
        <w:rFonts w:ascii="Arial" w:hAnsi="Arial" w:hint="default"/>
      </w:rPr>
    </w:lvl>
  </w:abstractNum>
  <w:abstractNum w:abstractNumId="13">
    <w:nsid w:val="54EB710A"/>
    <w:multiLevelType w:val="hybridMultilevel"/>
    <w:tmpl w:val="BD3C566E"/>
    <w:lvl w:ilvl="0" w:tplc="264EF288">
      <w:start w:val="1"/>
      <w:numFmt w:val="bullet"/>
      <w:lvlText w:val="•"/>
      <w:lvlJc w:val="left"/>
      <w:pPr>
        <w:tabs>
          <w:tab w:val="num" w:pos="720"/>
        </w:tabs>
        <w:ind w:left="720" w:hanging="360"/>
      </w:pPr>
      <w:rPr>
        <w:rFonts w:ascii="Arial" w:hAnsi="Arial" w:hint="default"/>
      </w:rPr>
    </w:lvl>
    <w:lvl w:ilvl="1" w:tplc="E1D2B6FC">
      <w:start w:val="2824"/>
      <w:numFmt w:val="bullet"/>
      <w:lvlText w:val="•"/>
      <w:lvlJc w:val="left"/>
      <w:pPr>
        <w:tabs>
          <w:tab w:val="num" w:pos="1440"/>
        </w:tabs>
        <w:ind w:left="1440" w:hanging="360"/>
      </w:pPr>
      <w:rPr>
        <w:rFonts w:ascii="Arial" w:hAnsi="Arial" w:hint="default"/>
      </w:rPr>
    </w:lvl>
    <w:lvl w:ilvl="2" w:tplc="75026632" w:tentative="1">
      <w:start w:val="1"/>
      <w:numFmt w:val="bullet"/>
      <w:lvlText w:val="•"/>
      <w:lvlJc w:val="left"/>
      <w:pPr>
        <w:tabs>
          <w:tab w:val="num" w:pos="2160"/>
        </w:tabs>
        <w:ind w:left="2160" w:hanging="360"/>
      </w:pPr>
      <w:rPr>
        <w:rFonts w:ascii="Arial" w:hAnsi="Arial" w:hint="default"/>
      </w:rPr>
    </w:lvl>
    <w:lvl w:ilvl="3" w:tplc="FC40ED20" w:tentative="1">
      <w:start w:val="1"/>
      <w:numFmt w:val="bullet"/>
      <w:lvlText w:val="•"/>
      <w:lvlJc w:val="left"/>
      <w:pPr>
        <w:tabs>
          <w:tab w:val="num" w:pos="2880"/>
        </w:tabs>
        <w:ind w:left="2880" w:hanging="360"/>
      </w:pPr>
      <w:rPr>
        <w:rFonts w:ascii="Arial" w:hAnsi="Arial" w:hint="default"/>
      </w:rPr>
    </w:lvl>
    <w:lvl w:ilvl="4" w:tplc="9D3ECADC" w:tentative="1">
      <w:start w:val="1"/>
      <w:numFmt w:val="bullet"/>
      <w:lvlText w:val="•"/>
      <w:lvlJc w:val="left"/>
      <w:pPr>
        <w:tabs>
          <w:tab w:val="num" w:pos="3600"/>
        </w:tabs>
        <w:ind w:left="3600" w:hanging="360"/>
      </w:pPr>
      <w:rPr>
        <w:rFonts w:ascii="Arial" w:hAnsi="Arial" w:hint="default"/>
      </w:rPr>
    </w:lvl>
    <w:lvl w:ilvl="5" w:tplc="E99CB1A6" w:tentative="1">
      <w:start w:val="1"/>
      <w:numFmt w:val="bullet"/>
      <w:lvlText w:val="•"/>
      <w:lvlJc w:val="left"/>
      <w:pPr>
        <w:tabs>
          <w:tab w:val="num" w:pos="4320"/>
        </w:tabs>
        <w:ind w:left="4320" w:hanging="360"/>
      </w:pPr>
      <w:rPr>
        <w:rFonts w:ascii="Arial" w:hAnsi="Arial" w:hint="default"/>
      </w:rPr>
    </w:lvl>
    <w:lvl w:ilvl="6" w:tplc="DDFA7F20" w:tentative="1">
      <w:start w:val="1"/>
      <w:numFmt w:val="bullet"/>
      <w:lvlText w:val="•"/>
      <w:lvlJc w:val="left"/>
      <w:pPr>
        <w:tabs>
          <w:tab w:val="num" w:pos="5040"/>
        </w:tabs>
        <w:ind w:left="5040" w:hanging="360"/>
      </w:pPr>
      <w:rPr>
        <w:rFonts w:ascii="Arial" w:hAnsi="Arial" w:hint="default"/>
      </w:rPr>
    </w:lvl>
    <w:lvl w:ilvl="7" w:tplc="5582B5AA" w:tentative="1">
      <w:start w:val="1"/>
      <w:numFmt w:val="bullet"/>
      <w:lvlText w:val="•"/>
      <w:lvlJc w:val="left"/>
      <w:pPr>
        <w:tabs>
          <w:tab w:val="num" w:pos="5760"/>
        </w:tabs>
        <w:ind w:left="5760" w:hanging="360"/>
      </w:pPr>
      <w:rPr>
        <w:rFonts w:ascii="Arial" w:hAnsi="Arial" w:hint="default"/>
      </w:rPr>
    </w:lvl>
    <w:lvl w:ilvl="8" w:tplc="F38274C2" w:tentative="1">
      <w:start w:val="1"/>
      <w:numFmt w:val="bullet"/>
      <w:lvlText w:val="•"/>
      <w:lvlJc w:val="left"/>
      <w:pPr>
        <w:tabs>
          <w:tab w:val="num" w:pos="6480"/>
        </w:tabs>
        <w:ind w:left="6480" w:hanging="360"/>
      </w:pPr>
      <w:rPr>
        <w:rFonts w:ascii="Arial" w:hAnsi="Arial" w:hint="default"/>
      </w:rPr>
    </w:lvl>
  </w:abstractNum>
  <w:abstractNum w:abstractNumId="14">
    <w:nsid w:val="611077F7"/>
    <w:multiLevelType w:val="hybridMultilevel"/>
    <w:tmpl w:val="088AE8C2"/>
    <w:lvl w:ilvl="0" w:tplc="090E978A">
      <w:start w:val="1"/>
      <w:numFmt w:val="bullet"/>
      <w:lvlText w:val="•"/>
      <w:lvlJc w:val="left"/>
      <w:pPr>
        <w:tabs>
          <w:tab w:val="num" w:pos="720"/>
        </w:tabs>
        <w:ind w:left="720" w:hanging="360"/>
      </w:pPr>
      <w:rPr>
        <w:rFonts w:ascii="Arial" w:hAnsi="Arial" w:hint="default"/>
      </w:rPr>
    </w:lvl>
    <w:lvl w:ilvl="1" w:tplc="25EE6C76">
      <w:start w:val="2824"/>
      <w:numFmt w:val="bullet"/>
      <w:lvlText w:val="•"/>
      <w:lvlJc w:val="left"/>
      <w:pPr>
        <w:tabs>
          <w:tab w:val="num" w:pos="1440"/>
        </w:tabs>
        <w:ind w:left="1440" w:hanging="360"/>
      </w:pPr>
      <w:rPr>
        <w:rFonts w:ascii="Arial" w:hAnsi="Arial" w:hint="default"/>
      </w:rPr>
    </w:lvl>
    <w:lvl w:ilvl="2" w:tplc="67E0658E">
      <w:start w:val="2824"/>
      <w:numFmt w:val="bullet"/>
      <w:lvlText w:val="•"/>
      <w:lvlJc w:val="left"/>
      <w:pPr>
        <w:tabs>
          <w:tab w:val="num" w:pos="2160"/>
        </w:tabs>
        <w:ind w:left="2160" w:hanging="360"/>
      </w:pPr>
      <w:rPr>
        <w:rFonts w:ascii="Arial" w:hAnsi="Arial" w:hint="default"/>
      </w:rPr>
    </w:lvl>
    <w:lvl w:ilvl="3" w:tplc="8B26B1BC" w:tentative="1">
      <w:start w:val="1"/>
      <w:numFmt w:val="bullet"/>
      <w:lvlText w:val="•"/>
      <w:lvlJc w:val="left"/>
      <w:pPr>
        <w:tabs>
          <w:tab w:val="num" w:pos="2880"/>
        </w:tabs>
        <w:ind w:left="2880" w:hanging="360"/>
      </w:pPr>
      <w:rPr>
        <w:rFonts w:ascii="Arial" w:hAnsi="Arial" w:hint="default"/>
      </w:rPr>
    </w:lvl>
    <w:lvl w:ilvl="4" w:tplc="1ACC561C" w:tentative="1">
      <w:start w:val="1"/>
      <w:numFmt w:val="bullet"/>
      <w:lvlText w:val="•"/>
      <w:lvlJc w:val="left"/>
      <w:pPr>
        <w:tabs>
          <w:tab w:val="num" w:pos="3600"/>
        </w:tabs>
        <w:ind w:left="3600" w:hanging="360"/>
      </w:pPr>
      <w:rPr>
        <w:rFonts w:ascii="Arial" w:hAnsi="Arial" w:hint="default"/>
      </w:rPr>
    </w:lvl>
    <w:lvl w:ilvl="5" w:tplc="FADA3440" w:tentative="1">
      <w:start w:val="1"/>
      <w:numFmt w:val="bullet"/>
      <w:lvlText w:val="•"/>
      <w:lvlJc w:val="left"/>
      <w:pPr>
        <w:tabs>
          <w:tab w:val="num" w:pos="4320"/>
        </w:tabs>
        <w:ind w:left="4320" w:hanging="360"/>
      </w:pPr>
      <w:rPr>
        <w:rFonts w:ascii="Arial" w:hAnsi="Arial" w:hint="default"/>
      </w:rPr>
    </w:lvl>
    <w:lvl w:ilvl="6" w:tplc="C1962B20" w:tentative="1">
      <w:start w:val="1"/>
      <w:numFmt w:val="bullet"/>
      <w:lvlText w:val="•"/>
      <w:lvlJc w:val="left"/>
      <w:pPr>
        <w:tabs>
          <w:tab w:val="num" w:pos="5040"/>
        </w:tabs>
        <w:ind w:left="5040" w:hanging="360"/>
      </w:pPr>
      <w:rPr>
        <w:rFonts w:ascii="Arial" w:hAnsi="Arial" w:hint="default"/>
      </w:rPr>
    </w:lvl>
    <w:lvl w:ilvl="7" w:tplc="D1DC7C30" w:tentative="1">
      <w:start w:val="1"/>
      <w:numFmt w:val="bullet"/>
      <w:lvlText w:val="•"/>
      <w:lvlJc w:val="left"/>
      <w:pPr>
        <w:tabs>
          <w:tab w:val="num" w:pos="5760"/>
        </w:tabs>
        <w:ind w:left="5760" w:hanging="360"/>
      </w:pPr>
      <w:rPr>
        <w:rFonts w:ascii="Arial" w:hAnsi="Arial" w:hint="default"/>
      </w:rPr>
    </w:lvl>
    <w:lvl w:ilvl="8" w:tplc="CB2E51AE"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11"/>
  </w:num>
  <w:num w:numId="3">
    <w:abstractNumId w:val="6"/>
  </w:num>
  <w:num w:numId="4">
    <w:abstractNumId w:val="9"/>
  </w:num>
  <w:num w:numId="5">
    <w:abstractNumId w:val="5"/>
  </w:num>
  <w:num w:numId="6">
    <w:abstractNumId w:val="3"/>
  </w:num>
  <w:num w:numId="7">
    <w:abstractNumId w:val="4"/>
  </w:num>
  <w:num w:numId="8">
    <w:abstractNumId w:val="2"/>
  </w:num>
  <w:num w:numId="9">
    <w:abstractNumId w:val="10"/>
  </w:num>
  <w:num w:numId="10">
    <w:abstractNumId w:val="1"/>
  </w:num>
  <w:num w:numId="11">
    <w:abstractNumId w:val="7"/>
  </w:num>
  <w:num w:numId="12">
    <w:abstractNumId w:val="14"/>
  </w:num>
  <w:num w:numId="13">
    <w:abstractNumId w:val="0"/>
  </w:num>
  <w:num w:numId="14">
    <w:abstractNumId w:val="13"/>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05BEB"/>
    <w:rsid w:val="00005909"/>
    <w:rsid w:val="000165D4"/>
    <w:rsid w:val="00020854"/>
    <w:rsid w:val="00025388"/>
    <w:rsid w:val="0002614F"/>
    <w:rsid w:val="0003377C"/>
    <w:rsid w:val="0004224C"/>
    <w:rsid w:val="000518B5"/>
    <w:rsid w:val="00061101"/>
    <w:rsid w:val="00061B5C"/>
    <w:rsid w:val="00095B81"/>
    <w:rsid w:val="000B126D"/>
    <w:rsid w:val="000B4648"/>
    <w:rsid w:val="000D4DC7"/>
    <w:rsid w:val="00105BEB"/>
    <w:rsid w:val="00134801"/>
    <w:rsid w:val="0015747E"/>
    <w:rsid w:val="00170428"/>
    <w:rsid w:val="00176680"/>
    <w:rsid w:val="00185094"/>
    <w:rsid w:val="001B130D"/>
    <w:rsid w:val="001F0CCF"/>
    <w:rsid w:val="001F312F"/>
    <w:rsid w:val="0020522F"/>
    <w:rsid w:val="00217524"/>
    <w:rsid w:val="0023393E"/>
    <w:rsid w:val="00234430"/>
    <w:rsid w:val="00243D83"/>
    <w:rsid w:val="00244B70"/>
    <w:rsid w:val="002553BA"/>
    <w:rsid w:val="00273E66"/>
    <w:rsid w:val="002A2472"/>
    <w:rsid w:val="002B2D97"/>
    <w:rsid w:val="002D066D"/>
    <w:rsid w:val="002E190B"/>
    <w:rsid w:val="00335F1C"/>
    <w:rsid w:val="00336C07"/>
    <w:rsid w:val="003426A5"/>
    <w:rsid w:val="003452C7"/>
    <w:rsid w:val="00345C43"/>
    <w:rsid w:val="00347F9D"/>
    <w:rsid w:val="003713E6"/>
    <w:rsid w:val="00386388"/>
    <w:rsid w:val="003975F1"/>
    <w:rsid w:val="003A5346"/>
    <w:rsid w:val="003A6854"/>
    <w:rsid w:val="003D54BC"/>
    <w:rsid w:val="004057FB"/>
    <w:rsid w:val="00416963"/>
    <w:rsid w:val="0042643C"/>
    <w:rsid w:val="00436F54"/>
    <w:rsid w:val="004507D1"/>
    <w:rsid w:val="00472BAF"/>
    <w:rsid w:val="004C32E6"/>
    <w:rsid w:val="004D2A8F"/>
    <w:rsid w:val="004E59C7"/>
    <w:rsid w:val="0051178A"/>
    <w:rsid w:val="005413BC"/>
    <w:rsid w:val="00575BE7"/>
    <w:rsid w:val="005E26E7"/>
    <w:rsid w:val="005E5734"/>
    <w:rsid w:val="00626D78"/>
    <w:rsid w:val="00630F35"/>
    <w:rsid w:val="00652094"/>
    <w:rsid w:val="00661DC3"/>
    <w:rsid w:val="006622D9"/>
    <w:rsid w:val="006A3401"/>
    <w:rsid w:val="006B745B"/>
    <w:rsid w:val="006F1980"/>
    <w:rsid w:val="00736BD8"/>
    <w:rsid w:val="00762B77"/>
    <w:rsid w:val="00766AAA"/>
    <w:rsid w:val="00774750"/>
    <w:rsid w:val="00783374"/>
    <w:rsid w:val="00784B32"/>
    <w:rsid w:val="0078755A"/>
    <w:rsid w:val="00790ACC"/>
    <w:rsid w:val="0079582E"/>
    <w:rsid w:val="007A2D28"/>
    <w:rsid w:val="007B5217"/>
    <w:rsid w:val="007C75FF"/>
    <w:rsid w:val="007D5B7F"/>
    <w:rsid w:val="008176A3"/>
    <w:rsid w:val="00832FD7"/>
    <w:rsid w:val="008621E1"/>
    <w:rsid w:val="00862219"/>
    <w:rsid w:val="00864178"/>
    <w:rsid w:val="008A2A23"/>
    <w:rsid w:val="008A560E"/>
    <w:rsid w:val="008B5BB5"/>
    <w:rsid w:val="008C462E"/>
    <w:rsid w:val="008D6CE9"/>
    <w:rsid w:val="008F1CDF"/>
    <w:rsid w:val="009014F8"/>
    <w:rsid w:val="009027A3"/>
    <w:rsid w:val="0093223D"/>
    <w:rsid w:val="00944DDF"/>
    <w:rsid w:val="00953F3E"/>
    <w:rsid w:val="0095560A"/>
    <w:rsid w:val="0097551E"/>
    <w:rsid w:val="0097789B"/>
    <w:rsid w:val="00983493"/>
    <w:rsid w:val="009A38F6"/>
    <w:rsid w:val="009A7DD2"/>
    <w:rsid w:val="009B0653"/>
    <w:rsid w:val="009C1F4D"/>
    <w:rsid w:val="009D222F"/>
    <w:rsid w:val="009E0AD7"/>
    <w:rsid w:val="00A03A09"/>
    <w:rsid w:val="00A0615F"/>
    <w:rsid w:val="00A366E9"/>
    <w:rsid w:val="00A52233"/>
    <w:rsid w:val="00A53F22"/>
    <w:rsid w:val="00A82BBC"/>
    <w:rsid w:val="00A965BD"/>
    <w:rsid w:val="00AB1B6A"/>
    <w:rsid w:val="00AC6B39"/>
    <w:rsid w:val="00B25C18"/>
    <w:rsid w:val="00B36424"/>
    <w:rsid w:val="00B44735"/>
    <w:rsid w:val="00B51E62"/>
    <w:rsid w:val="00B64A7D"/>
    <w:rsid w:val="00B72C13"/>
    <w:rsid w:val="00B76538"/>
    <w:rsid w:val="00B91C50"/>
    <w:rsid w:val="00B9264D"/>
    <w:rsid w:val="00BB0FB7"/>
    <w:rsid w:val="00BC0F80"/>
    <w:rsid w:val="00BD6092"/>
    <w:rsid w:val="00C01368"/>
    <w:rsid w:val="00C12A5E"/>
    <w:rsid w:val="00C275AC"/>
    <w:rsid w:val="00C4054C"/>
    <w:rsid w:val="00C4244A"/>
    <w:rsid w:val="00C52531"/>
    <w:rsid w:val="00C65D4C"/>
    <w:rsid w:val="00C82C43"/>
    <w:rsid w:val="00CB3241"/>
    <w:rsid w:val="00CC1AC7"/>
    <w:rsid w:val="00CE6278"/>
    <w:rsid w:val="00D411C4"/>
    <w:rsid w:val="00D4784D"/>
    <w:rsid w:val="00D56BDD"/>
    <w:rsid w:val="00D63DE6"/>
    <w:rsid w:val="00D93A43"/>
    <w:rsid w:val="00DC1D4F"/>
    <w:rsid w:val="00DF7DBF"/>
    <w:rsid w:val="00E04B12"/>
    <w:rsid w:val="00E120B6"/>
    <w:rsid w:val="00E13481"/>
    <w:rsid w:val="00E500C8"/>
    <w:rsid w:val="00E90DCD"/>
    <w:rsid w:val="00EA73D1"/>
    <w:rsid w:val="00EC411F"/>
    <w:rsid w:val="00EE1826"/>
    <w:rsid w:val="00EE635E"/>
    <w:rsid w:val="00EF0A86"/>
    <w:rsid w:val="00EF1E53"/>
    <w:rsid w:val="00F05846"/>
    <w:rsid w:val="00F67C01"/>
    <w:rsid w:val="00F72D87"/>
    <w:rsid w:val="00FA0EC7"/>
    <w:rsid w:val="00FC687C"/>
    <w:rsid w:val="00FD0793"/>
    <w:rsid w:val="00FD2FBD"/>
    <w:rsid w:val="00FE71A1"/>
    <w:rsid w:val="00FF3F23"/>
    <w:rsid w:val="00FF50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B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20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2094"/>
    <w:rPr>
      <w:rFonts w:ascii="Tahoma" w:hAnsi="Tahoma" w:cs="Tahoma"/>
      <w:sz w:val="16"/>
      <w:szCs w:val="16"/>
    </w:rPr>
  </w:style>
  <w:style w:type="paragraph" w:styleId="Header">
    <w:name w:val="header"/>
    <w:basedOn w:val="Normal"/>
    <w:link w:val="HeaderChar"/>
    <w:uiPriority w:val="99"/>
    <w:unhideWhenUsed/>
    <w:rsid w:val="00DC1D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D4F"/>
  </w:style>
  <w:style w:type="paragraph" w:styleId="Footer">
    <w:name w:val="footer"/>
    <w:basedOn w:val="Normal"/>
    <w:link w:val="FooterChar"/>
    <w:uiPriority w:val="99"/>
    <w:unhideWhenUsed/>
    <w:rsid w:val="00DC1D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D4F"/>
  </w:style>
  <w:style w:type="character" w:styleId="Hyperlink">
    <w:name w:val="Hyperlink"/>
    <w:basedOn w:val="DefaultParagraphFont"/>
    <w:uiPriority w:val="99"/>
    <w:unhideWhenUsed/>
    <w:rsid w:val="00FD2FBD"/>
    <w:rPr>
      <w:color w:val="0000FF" w:themeColor="hyperlink"/>
      <w:u w:val="single"/>
    </w:rPr>
  </w:style>
  <w:style w:type="paragraph" w:styleId="ListParagraph">
    <w:name w:val="List Paragraph"/>
    <w:basedOn w:val="Normal"/>
    <w:uiPriority w:val="34"/>
    <w:qFormat/>
    <w:rsid w:val="0023393E"/>
    <w:pPr>
      <w:ind w:left="720"/>
      <w:contextualSpacing/>
    </w:pPr>
  </w:style>
  <w:style w:type="table" w:styleId="TableGrid">
    <w:name w:val="Table Grid"/>
    <w:basedOn w:val="TableNormal"/>
    <w:uiPriority w:val="59"/>
    <w:rsid w:val="003A68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B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20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2094"/>
    <w:rPr>
      <w:rFonts w:ascii="Tahoma" w:hAnsi="Tahoma" w:cs="Tahoma"/>
      <w:sz w:val="16"/>
      <w:szCs w:val="16"/>
    </w:rPr>
  </w:style>
  <w:style w:type="paragraph" w:styleId="Header">
    <w:name w:val="header"/>
    <w:basedOn w:val="Normal"/>
    <w:link w:val="HeaderChar"/>
    <w:uiPriority w:val="99"/>
    <w:unhideWhenUsed/>
    <w:rsid w:val="00DC1D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D4F"/>
  </w:style>
  <w:style w:type="paragraph" w:styleId="Footer">
    <w:name w:val="footer"/>
    <w:basedOn w:val="Normal"/>
    <w:link w:val="FooterChar"/>
    <w:uiPriority w:val="99"/>
    <w:unhideWhenUsed/>
    <w:rsid w:val="00DC1D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D4F"/>
  </w:style>
  <w:style w:type="character" w:styleId="Hyperlink">
    <w:name w:val="Hyperlink"/>
    <w:basedOn w:val="DefaultParagraphFont"/>
    <w:uiPriority w:val="99"/>
    <w:unhideWhenUsed/>
    <w:rsid w:val="00FD2FBD"/>
    <w:rPr>
      <w:color w:val="0000FF" w:themeColor="hyperlink"/>
      <w:u w:val="single"/>
    </w:rPr>
  </w:style>
  <w:style w:type="paragraph" w:styleId="ListParagraph">
    <w:name w:val="List Paragraph"/>
    <w:basedOn w:val="Normal"/>
    <w:uiPriority w:val="34"/>
    <w:qFormat/>
    <w:rsid w:val="0023393E"/>
    <w:pPr>
      <w:ind w:left="720"/>
      <w:contextualSpacing/>
    </w:pPr>
  </w:style>
  <w:style w:type="table" w:styleId="TableGrid">
    <w:name w:val="Table Grid"/>
    <w:basedOn w:val="TableNormal"/>
    <w:uiPriority w:val="59"/>
    <w:rsid w:val="003A68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0576">
      <w:bodyDiv w:val="1"/>
      <w:marLeft w:val="0"/>
      <w:marRight w:val="0"/>
      <w:marTop w:val="0"/>
      <w:marBottom w:val="0"/>
      <w:divBdr>
        <w:top w:val="none" w:sz="0" w:space="0" w:color="auto"/>
        <w:left w:val="none" w:sz="0" w:space="0" w:color="auto"/>
        <w:bottom w:val="none" w:sz="0" w:space="0" w:color="auto"/>
        <w:right w:val="none" w:sz="0" w:space="0" w:color="auto"/>
      </w:divBdr>
      <w:divsChild>
        <w:div w:id="973367070">
          <w:marLeft w:val="806"/>
          <w:marRight w:val="0"/>
          <w:marTop w:val="64"/>
          <w:marBottom w:val="0"/>
          <w:divBdr>
            <w:top w:val="none" w:sz="0" w:space="0" w:color="auto"/>
            <w:left w:val="none" w:sz="0" w:space="0" w:color="auto"/>
            <w:bottom w:val="none" w:sz="0" w:space="0" w:color="auto"/>
            <w:right w:val="none" w:sz="0" w:space="0" w:color="auto"/>
          </w:divBdr>
        </w:div>
        <w:div w:id="1933779653">
          <w:marLeft w:val="1526"/>
          <w:marRight w:val="0"/>
          <w:marTop w:val="64"/>
          <w:marBottom w:val="0"/>
          <w:divBdr>
            <w:top w:val="none" w:sz="0" w:space="0" w:color="auto"/>
            <w:left w:val="none" w:sz="0" w:space="0" w:color="auto"/>
            <w:bottom w:val="none" w:sz="0" w:space="0" w:color="auto"/>
            <w:right w:val="none" w:sz="0" w:space="0" w:color="auto"/>
          </w:divBdr>
        </w:div>
        <w:div w:id="1733500831">
          <w:marLeft w:val="1526"/>
          <w:marRight w:val="0"/>
          <w:marTop w:val="64"/>
          <w:marBottom w:val="0"/>
          <w:divBdr>
            <w:top w:val="none" w:sz="0" w:space="0" w:color="auto"/>
            <w:left w:val="none" w:sz="0" w:space="0" w:color="auto"/>
            <w:bottom w:val="none" w:sz="0" w:space="0" w:color="auto"/>
            <w:right w:val="none" w:sz="0" w:space="0" w:color="auto"/>
          </w:divBdr>
        </w:div>
        <w:div w:id="1870489007">
          <w:marLeft w:val="1526"/>
          <w:marRight w:val="0"/>
          <w:marTop w:val="64"/>
          <w:marBottom w:val="0"/>
          <w:divBdr>
            <w:top w:val="none" w:sz="0" w:space="0" w:color="auto"/>
            <w:left w:val="none" w:sz="0" w:space="0" w:color="auto"/>
            <w:bottom w:val="none" w:sz="0" w:space="0" w:color="auto"/>
            <w:right w:val="none" w:sz="0" w:space="0" w:color="auto"/>
          </w:divBdr>
        </w:div>
      </w:divsChild>
    </w:div>
    <w:div w:id="161432147">
      <w:bodyDiv w:val="1"/>
      <w:marLeft w:val="0"/>
      <w:marRight w:val="0"/>
      <w:marTop w:val="0"/>
      <w:marBottom w:val="0"/>
      <w:divBdr>
        <w:top w:val="none" w:sz="0" w:space="0" w:color="auto"/>
        <w:left w:val="none" w:sz="0" w:space="0" w:color="auto"/>
        <w:bottom w:val="none" w:sz="0" w:space="0" w:color="auto"/>
        <w:right w:val="none" w:sz="0" w:space="0" w:color="auto"/>
      </w:divBdr>
      <w:divsChild>
        <w:div w:id="2032947000">
          <w:marLeft w:val="0"/>
          <w:marRight w:val="0"/>
          <w:marTop w:val="0"/>
          <w:marBottom w:val="0"/>
          <w:divBdr>
            <w:top w:val="none" w:sz="0" w:space="0" w:color="auto"/>
            <w:left w:val="none" w:sz="0" w:space="0" w:color="auto"/>
            <w:bottom w:val="none" w:sz="0" w:space="0" w:color="auto"/>
            <w:right w:val="none" w:sz="0" w:space="0" w:color="auto"/>
          </w:divBdr>
          <w:divsChild>
            <w:div w:id="557322878">
              <w:marLeft w:val="0"/>
              <w:marRight w:val="0"/>
              <w:marTop w:val="0"/>
              <w:marBottom w:val="0"/>
              <w:divBdr>
                <w:top w:val="none" w:sz="0" w:space="0" w:color="auto"/>
                <w:left w:val="none" w:sz="0" w:space="0" w:color="auto"/>
                <w:bottom w:val="none" w:sz="0" w:space="0" w:color="auto"/>
                <w:right w:val="none" w:sz="0" w:space="0" w:color="auto"/>
              </w:divBdr>
              <w:divsChild>
                <w:div w:id="1304509488">
                  <w:marLeft w:val="0"/>
                  <w:marRight w:val="0"/>
                  <w:marTop w:val="0"/>
                  <w:marBottom w:val="0"/>
                  <w:divBdr>
                    <w:top w:val="none" w:sz="0" w:space="0" w:color="auto"/>
                    <w:left w:val="none" w:sz="0" w:space="0" w:color="auto"/>
                    <w:bottom w:val="none" w:sz="0" w:space="0" w:color="auto"/>
                    <w:right w:val="none" w:sz="0" w:space="0" w:color="auto"/>
                  </w:divBdr>
                  <w:divsChild>
                    <w:div w:id="165460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87193">
      <w:bodyDiv w:val="1"/>
      <w:marLeft w:val="0"/>
      <w:marRight w:val="0"/>
      <w:marTop w:val="0"/>
      <w:marBottom w:val="0"/>
      <w:divBdr>
        <w:top w:val="none" w:sz="0" w:space="0" w:color="auto"/>
        <w:left w:val="none" w:sz="0" w:space="0" w:color="auto"/>
        <w:bottom w:val="none" w:sz="0" w:space="0" w:color="auto"/>
        <w:right w:val="none" w:sz="0" w:space="0" w:color="auto"/>
      </w:divBdr>
      <w:divsChild>
        <w:div w:id="1658192207">
          <w:marLeft w:val="806"/>
          <w:marRight w:val="0"/>
          <w:marTop w:val="64"/>
          <w:marBottom w:val="0"/>
          <w:divBdr>
            <w:top w:val="none" w:sz="0" w:space="0" w:color="auto"/>
            <w:left w:val="none" w:sz="0" w:space="0" w:color="auto"/>
            <w:bottom w:val="none" w:sz="0" w:space="0" w:color="auto"/>
            <w:right w:val="none" w:sz="0" w:space="0" w:color="auto"/>
          </w:divBdr>
        </w:div>
        <w:div w:id="1238587056">
          <w:marLeft w:val="1526"/>
          <w:marRight w:val="0"/>
          <w:marTop w:val="64"/>
          <w:marBottom w:val="0"/>
          <w:divBdr>
            <w:top w:val="none" w:sz="0" w:space="0" w:color="auto"/>
            <w:left w:val="none" w:sz="0" w:space="0" w:color="auto"/>
            <w:bottom w:val="none" w:sz="0" w:space="0" w:color="auto"/>
            <w:right w:val="none" w:sz="0" w:space="0" w:color="auto"/>
          </w:divBdr>
        </w:div>
        <w:div w:id="147938846">
          <w:marLeft w:val="2246"/>
          <w:marRight w:val="0"/>
          <w:marTop w:val="64"/>
          <w:marBottom w:val="0"/>
          <w:divBdr>
            <w:top w:val="none" w:sz="0" w:space="0" w:color="auto"/>
            <w:left w:val="none" w:sz="0" w:space="0" w:color="auto"/>
            <w:bottom w:val="none" w:sz="0" w:space="0" w:color="auto"/>
            <w:right w:val="none" w:sz="0" w:space="0" w:color="auto"/>
          </w:divBdr>
        </w:div>
        <w:div w:id="1061909513">
          <w:marLeft w:val="1526"/>
          <w:marRight w:val="0"/>
          <w:marTop w:val="64"/>
          <w:marBottom w:val="0"/>
          <w:divBdr>
            <w:top w:val="none" w:sz="0" w:space="0" w:color="auto"/>
            <w:left w:val="none" w:sz="0" w:space="0" w:color="auto"/>
            <w:bottom w:val="none" w:sz="0" w:space="0" w:color="auto"/>
            <w:right w:val="none" w:sz="0" w:space="0" w:color="auto"/>
          </w:divBdr>
        </w:div>
        <w:div w:id="37511141">
          <w:marLeft w:val="2246"/>
          <w:marRight w:val="0"/>
          <w:marTop w:val="64"/>
          <w:marBottom w:val="0"/>
          <w:divBdr>
            <w:top w:val="none" w:sz="0" w:space="0" w:color="auto"/>
            <w:left w:val="none" w:sz="0" w:space="0" w:color="auto"/>
            <w:bottom w:val="none" w:sz="0" w:space="0" w:color="auto"/>
            <w:right w:val="none" w:sz="0" w:space="0" w:color="auto"/>
          </w:divBdr>
        </w:div>
        <w:div w:id="1350566071">
          <w:marLeft w:val="1526"/>
          <w:marRight w:val="0"/>
          <w:marTop w:val="64"/>
          <w:marBottom w:val="0"/>
          <w:divBdr>
            <w:top w:val="none" w:sz="0" w:space="0" w:color="auto"/>
            <w:left w:val="none" w:sz="0" w:space="0" w:color="auto"/>
            <w:bottom w:val="none" w:sz="0" w:space="0" w:color="auto"/>
            <w:right w:val="none" w:sz="0" w:space="0" w:color="auto"/>
          </w:divBdr>
        </w:div>
        <w:div w:id="1794445257">
          <w:marLeft w:val="2246"/>
          <w:marRight w:val="0"/>
          <w:marTop w:val="64"/>
          <w:marBottom w:val="0"/>
          <w:divBdr>
            <w:top w:val="none" w:sz="0" w:space="0" w:color="auto"/>
            <w:left w:val="none" w:sz="0" w:space="0" w:color="auto"/>
            <w:bottom w:val="none" w:sz="0" w:space="0" w:color="auto"/>
            <w:right w:val="none" w:sz="0" w:space="0" w:color="auto"/>
          </w:divBdr>
        </w:div>
      </w:divsChild>
    </w:div>
    <w:div w:id="216011007">
      <w:marLeft w:val="0"/>
      <w:marRight w:val="0"/>
      <w:marTop w:val="0"/>
      <w:marBottom w:val="0"/>
      <w:divBdr>
        <w:top w:val="none" w:sz="0" w:space="0" w:color="auto"/>
        <w:left w:val="none" w:sz="0" w:space="0" w:color="auto"/>
        <w:bottom w:val="none" w:sz="0" w:space="0" w:color="auto"/>
        <w:right w:val="none" w:sz="0" w:space="0" w:color="auto"/>
      </w:divBdr>
    </w:div>
    <w:div w:id="221403968">
      <w:bodyDiv w:val="1"/>
      <w:marLeft w:val="0"/>
      <w:marRight w:val="0"/>
      <w:marTop w:val="0"/>
      <w:marBottom w:val="0"/>
      <w:divBdr>
        <w:top w:val="none" w:sz="0" w:space="0" w:color="auto"/>
        <w:left w:val="none" w:sz="0" w:space="0" w:color="auto"/>
        <w:bottom w:val="none" w:sz="0" w:space="0" w:color="auto"/>
        <w:right w:val="none" w:sz="0" w:space="0" w:color="auto"/>
      </w:divBdr>
      <w:divsChild>
        <w:div w:id="1188524489">
          <w:marLeft w:val="806"/>
          <w:marRight w:val="0"/>
          <w:marTop w:val="64"/>
          <w:marBottom w:val="0"/>
          <w:divBdr>
            <w:top w:val="none" w:sz="0" w:space="0" w:color="auto"/>
            <w:left w:val="none" w:sz="0" w:space="0" w:color="auto"/>
            <w:bottom w:val="none" w:sz="0" w:space="0" w:color="auto"/>
            <w:right w:val="none" w:sz="0" w:space="0" w:color="auto"/>
          </w:divBdr>
        </w:div>
        <w:div w:id="1247619329">
          <w:marLeft w:val="1526"/>
          <w:marRight w:val="0"/>
          <w:marTop w:val="64"/>
          <w:marBottom w:val="0"/>
          <w:divBdr>
            <w:top w:val="none" w:sz="0" w:space="0" w:color="auto"/>
            <w:left w:val="none" w:sz="0" w:space="0" w:color="auto"/>
            <w:bottom w:val="none" w:sz="0" w:space="0" w:color="auto"/>
            <w:right w:val="none" w:sz="0" w:space="0" w:color="auto"/>
          </w:divBdr>
        </w:div>
        <w:div w:id="301421960">
          <w:marLeft w:val="1526"/>
          <w:marRight w:val="0"/>
          <w:marTop w:val="64"/>
          <w:marBottom w:val="0"/>
          <w:divBdr>
            <w:top w:val="none" w:sz="0" w:space="0" w:color="auto"/>
            <w:left w:val="none" w:sz="0" w:space="0" w:color="auto"/>
            <w:bottom w:val="none" w:sz="0" w:space="0" w:color="auto"/>
            <w:right w:val="none" w:sz="0" w:space="0" w:color="auto"/>
          </w:divBdr>
        </w:div>
        <w:div w:id="770707110">
          <w:marLeft w:val="1526"/>
          <w:marRight w:val="0"/>
          <w:marTop w:val="64"/>
          <w:marBottom w:val="0"/>
          <w:divBdr>
            <w:top w:val="none" w:sz="0" w:space="0" w:color="auto"/>
            <w:left w:val="none" w:sz="0" w:space="0" w:color="auto"/>
            <w:bottom w:val="none" w:sz="0" w:space="0" w:color="auto"/>
            <w:right w:val="none" w:sz="0" w:space="0" w:color="auto"/>
          </w:divBdr>
        </w:div>
        <w:div w:id="1563786146">
          <w:marLeft w:val="1526"/>
          <w:marRight w:val="0"/>
          <w:marTop w:val="64"/>
          <w:marBottom w:val="0"/>
          <w:divBdr>
            <w:top w:val="none" w:sz="0" w:space="0" w:color="auto"/>
            <w:left w:val="none" w:sz="0" w:space="0" w:color="auto"/>
            <w:bottom w:val="none" w:sz="0" w:space="0" w:color="auto"/>
            <w:right w:val="none" w:sz="0" w:space="0" w:color="auto"/>
          </w:divBdr>
        </w:div>
        <w:div w:id="778140644">
          <w:marLeft w:val="1526"/>
          <w:marRight w:val="0"/>
          <w:marTop w:val="64"/>
          <w:marBottom w:val="0"/>
          <w:divBdr>
            <w:top w:val="none" w:sz="0" w:space="0" w:color="auto"/>
            <w:left w:val="none" w:sz="0" w:space="0" w:color="auto"/>
            <w:bottom w:val="none" w:sz="0" w:space="0" w:color="auto"/>
            <w:right w:val="none" w:sz="0" w:space="0" w:color="auto"/>
          </w:divBdr>
        </w:div>
        <w:div w:id="273754306">
          <w:marLeft w:val="1526"/>
          <w:marRight w:val="0"/>
          <w:marTop w:val="64"/>
          <w:marBottom w:val="0"/>
          <w:divBdr>
            <w:top w:val="none" w:sz="0" w:space="0" w:color="auto"/>
            <w:left w:val="none" w:sz="0" w:space="0" w:color="auto"/>
            <w:bottom w:val="none" w:sz="0" w:space="0" w:color="auto"/>
            <w:right w:val="none" w:sz="0" w:space="0" w:color="auto"/>
          </w:divBdr>
        </w:div>
        <w:div w:id="2118088979">
          <w:marLeft w:val="1526"/>
          <w:marRight w:val="0"/>
          <w:marTop w:val="64"/>
          <w:marBottom w:val="0"/>
          <w:divBdr>
            <w:top w:val="none" w:sz="0" w:space="0" w:color="auto"/>
            <w:left w:val="none" w:sz="0" w:space="0" w:color="auto"/>
            <w:bottom w:val="none" w:sz="0" w:space="0" w:color="auto"/>
            <w:right w:val="none" w:sz="0" w:space="0" w:color="auto"/>
          </w:divBdr>
        </w:div>
      </w:divsChild>
    </w:div>
    <w:div w:id="263264723">
      <w:bodyDiv w:val="1"/>
      <w:marLeft w:val="0"/>
      <w:marRight w:val="0"/>
      <w:marTop w:val="0"/>
      <w:marBottom w:val="0"/>
      <w:divBdr>
        <w:top w:val="none" w:sz="0" w:space="0" w:color="auto"/>
        <w:left w:val="none" w:sz="0" w:space="0" w:color="auto"/>
        <w:bottom w:val="none" w:sz="0" w:space="0" w:color="auto"/>
        <w:right w:val="none" w:sz="0" w:space="0" w:color="auto"/>
      </w:divBdr>
    </w:div>
    <w:div w:id="281807698">
      <w:bodyDiv w:val="1"/>
      <w:marLeft w:val="0"/>
      <w:marRight w:val="0"/>
      <w:marTop w:val="0"/>
      <w:marBottom w:val="0"/>
      <w:divBdr>
        <w:top w:val="none" w:sz="0" w:space="0" w:color="auto"/>
        <w:left w:val="none" w:sz="0" w:space="0" w:color="auto"/>
        <w:bottom w:val="none" w:sz="0" w:space="0" w:color="auto"/>
        <w:right w:val="none" w:sz="0" w:space="0" w:color="auto"/>
      </w:divBdr>
    </w:div>
    <w:div w:id="408625687">
      <w:bodyDiv w:val="1"/>
      <w:marLeft w:val="0"/>
      <w:marRight w:val="0"/>
      <w:marTop w:val="0"/>
      <w:marBottom w:val="0"/>
      <w:divBdr>
        <w:top w:val="none" w:sz="0" w:space="0" w:color="auto"/>
        <w:left w:val="none" w:sz="0" w:space="0" w:color="auto"/>
        <w:bottom w:val="none" w:sz="0" w:space="0" w:color="auto"/>
        <w:right w:val="none" w:sz="0" w:space="0" w:color="auto"/>
      </w:divBdr>
      <w:divsChild>
        <w:div w:id="1055933619">
          <w:marLeft w:val="0"/>
          <w:marRight w:val="0"/>
          <w:marTop w:val="0"/>
          <w:marBottom w:val="150"/>
          <w:divBdr>
            <w:top w:val="none" w:sz="0" w:space="0" w:color="auto"/>
            <w:left w:val="none" w:sz="0" w:space="0" w:color="auto"/>
            <w:bottom w:val="none" w:sz="0" w:space="0" w:color="auto"/>
            <w:right w:val="none" w:sz="0" w:space="0" w:color="auto"/>
          </w:divBdr>
        </w:div>
      </w:divsChild>
    </w:div>
    <w:div w:id="428283949">
      <w:bodyDiv w:val="1"/>
      <w:marLeft w:val="0"/>
      <w:marRight w:val="0"/>
      <w:marTop w:val="0"/>
      <w:marBottom w:val="0"/>
      <w:divBdr>
        <w:top w:val="none" w:sz="0" w:space="0" w:color="auto"/>
        <w:left w:val="none" w:sz="0" w:space="0" w:color="auto"/>
        <w:bottom w:val="none" w:sz="0" w:space="0" w:color="auto"/>
        <w:right w:val="none" w:sz="0" w:space="0" w:color="auto"/>
      </w:divBdr>
    </w:div>
    <w:div w:id="464785036">
      <w:marLeft w:val="0"/>
      <w:marRight w:val="0"/>
      <w:marTop w:val="0"/>
      <w:marBottom w:val="0"/>
      <w:divBdr>
        <w:top w:val="none" w:sz="0" w:space="0" w:color="auto"/>
        <w:left w:val="none" w:sz="0" w:space="0" w:color="auto"/>
        <w:bottom w:val="none" w:sz="0" w:space="0" w:color="auto"/>
        <w:right w:val="none" w:sz="0" w:space="0" w:color="auto"/>
      </w:divBdr>
    </w:div>
    <w:div w:id="481771404">
      <w:marLeft w:val="0"/>
      <w:marRight w:val="0"/>
      <w:marTop w:val="0"/>
      <w:marBottom w:val="0"/>
      <w:divBdr>
        <w:top w:val="none" w:sz="0" w:space="0" w:color="auto"/>
        <w:left w:val="none" w:sz="0" w:space="0" w:color="auto"/>
        <w:bottom w:val="none" w:sz="0" w:space="0" w:color="auto"/>
        <w:right w:val="none" w:sz="0" w:space="0" w:color="auto"/>
      </w:divBdr>
    </w:div>
    <w:div w:id="515729583">
      <w:bodyDiv w:val="1"/>
      <w:marLeft w:val="0"/>
      <w:marRight w:val="0"/>
      <w:marTop w:val="0"/>
      <w:marBottom w:val="0"/>
      <w:divBdr>
        <w:top w:val="none" w:sz="0" w:space="0" w:color="auto"/>
        <w:left w:val="none" w:sz="0" w:space="0" w:color="auto"/>
        <w:bottom w:val="none" w:sz="0" w:space="0" w:color="auto"/>
        <w:right w:val="none" w:sz="0" w:space="0" w:color="auto"/>
      </w:divBdr>
      <w:divsChild>
        <w:div w:id="1457988749">
          <w:marLeft w:val="806"/>
          <w:marRight w:val="0"/>
          <w:marTop w:val="64"/>
          <w:marBottom w:val="0"/>
          <w:divBdr>
            <w:top w:val="none" w:sz="0" w:space="0" w:color="auto"/>
            <w:left w:val="none" w:sz="0" w:space="0" w:color="auto"/>
            <w:bottom w:val="none" w:sz="0" w:space="0" w:color="auto"/>
            <w:right w:val="none" w:sz="0" w:space="0" w:color="auto"/>
          </w:divBdr>
        </w:div>
        <w:div w:id="1672298302">
          <w:marLeft w:val="1526"/>
          <w:marRight w:val="0"/>
          <w:marTop w:val="64"/>
          <w:marBottom w:val="0"/>
          <w:divBdr>
            <w:top w:val="none" w:sz="0" w:space="0" w:color="auto"/>
            <w:left w:val="none" w:sz="0" w:space="0" w:color="auto"/>
            <w:bottom w:val="none" w:sz="0" w:space="0" w:color="auto"/>
            <w:right w:val="none" w:sz="0" w:space="0" w:color="auto"/>
          </w:divBdr>
        </w:div>
        <w:div w:id="1061907623">
          <w:marLeft w:val="1526"/>
          <w:marRight w:val="0"/>
          <w:marTop w:val="64"/>
          <w:marBottom w:val="0"/>
          <w:divBdr>
            <w:top w:val="none" w:sz="0" w:space="0" w:color="auto"/>
            <w:left w:val="none" w:sz="0" w:space="0" w:color="auto"/>
            <w:bottom w:val="none" w:sz="0" w:space="0" w:color="auto"/>
            <w:right w:val="none" w:sz="0" w:space="0" w:color="auto"/>
          </w:divBdr>
        </w:div>
        <w:div w:id="1692409821">
          <w:marLeft w:val="2246"/>
          <w:marRight w:val="0"/>
          <w:marTop w:val="64"/>
          <w:marBottom w:val="0"/>
          <w:divBdr>
            <w:top w:val="none" w:sz="0" w:space="0" w:color="auto"/>
            <w:left w:val="none" w:sz="0" w:space="0" w:color="auto"/>
            <w:bottom w:val="none" w:sz="0" w:space="0" w:color="auto"/>
            <w:right w:val="none" w:sz="0" w:space="0" w:color="auto"/>
          </w:divBdr>
        </w:div>
        <w:div w:id="1599942067">
          <w:marLeft w:val="2246"/>
          <w:marRight w:val="0"/>
          <w:marTop w:val="64"/>
          <w:marBottom w:val="0"/>
          <w:divBdr>
            <w:top w:val="none" w:sz="0" w:space="0" w:color="auto"/>
            <w:left w:val="none" w:sz="0" w:space="0" w:color="auto"/>
            <w:bottom w:val="none" w:sz="0" w:space="0" w:color="auto"/>
            <w:right w:val="none" w:sz="0" w:space="0" w:color="auto"/>
          </w:divBdr>
        </w:div>
        <w:div w:id="896934463">
          <w:marLeft w:val="1526"/>
          <w:marRight w:val="0"/>
          <w:marTop w:val="64"/>
          <w:marBottom w:val="0"/>
          <w:divBdr>
            <w:top w:val="none" w:sz="0" w:space="0" w:color="auto"/>
            <w:left w:val="none" w:sz="0" w:space="0" w:color="auto"/>
            <w:bottom w:val="none" w:sz="0" w:space="0" w:color="auto"/>
            <w:right w:val="none" w:sz="0" w:space="0" w:color="auto"/>
          </w:divBdr>
        </w:div>
        <w:div w:id="1345981538">
          <w:marLeft w:val="1526"/>
          <w:marRight w:val="0"/>
          <w:marTop w:val="64"/>
          <w:marBottom w:val="0"/>
          <w:divBdr>
            <w:top w:val="none" w:sz="0" w:space="0" w:color="auto"/>
            <w:left w:val="none" w:sz="0" w:space="0" w:color="auto"/>
            <w:bottom w:val="none" w:sz="0" w:space="0" w:color="auto"/>
            <w:right w:val="none" w:sz="0" w:space="0" w:color="auto"/>
          </w:divBdr>
        </w:div>
      </w:divsChild>
    </w:div>
    <w:div w:id="524366889">
      <w:marLeft w:val="0"/>
      <w:marRight w:val="0"/>
      <w:marTop w:val="0"/>
      <w:marBottom w:val="0"/>
      <w:divBdr>
        <w:top w:val="none" w:sz="0" w:space="0" w:color="auto"/>
        <w:left w:val="none" w:sz="0" w:space="0" w:color="auto"/>
        <w:bottom w:val="none" w:sz="0" w:space="0" w:color="auto"/>
        <w:right w:val="none" w:sz="0" w:space="0" w:color="auto"/>
      </w:divBdr>
    </w:div>
    <w:div w:id="575676302">
      <w:marLeft w:val="0"/>
      <w:marRight w:val="0"/>
      <w:marTop w:val="0"/>
      <w:marBottom w:val="0"/>
      <w:divBdr>
        <w:top w:val="none" w:sz="0" w:space="0" w:color="auto"/>
        <w:left w:val="none" w:sz="0" w:space="0" w:color="auto"/>
        <w:bottom w:val="none" w:sz="0" w:space="0" w:color="auto"/>
        <w:right w:val="none" w:sz="0" w:space="0" w:color="auto"/>
      </w:divBdr>
    </w:div>
    <w:div w:id="719404641">
      <w:marLeft w:val="0"/>
      <w:marRight w:val="0"/>
      <w:marTop w:val="0"/>
      <w:marBottom w:val="0"/>
      <w:divBdr>
        <w:top w:val="none" w:sz="0" w:space="0" w:color="auto"/>
        <w:left w:val="none" w:sz="0" w:space="0" w:color="auto"/>
        <w:bottom w:val="none" w:sz="0" w:space="0" w:color="auto"/>
        <w:right w:val="none" w:sz="0" w:space="0" w:color="auto"/>
      </w:divBdr>
    </w:div>
    <w:div w:id="790901424">
      <w:bodyDiv w:val="1"/>
      <w:marLeft w:val="0"/>
      <w:marRight w:val="0"/>
      <w:marTop w:val="0"/>
      <w:marBottom w:val="0"/>
      <w:divBdr>
        <w:top w:val="none" w:sz="0" w:space="0" w:color="auto"/>
        <w:left w:val="none" w:sz="0" w:space="0" w:color="auto"/>
        <w:bottom w:val="none" w:sz="0" w:space="0" w:color="auto"/>
        <w:right w:val="none" w:sz="0" w:space="0" w:color="auto"/>
      </w:divBdr>
      <w:divsChild>
        <w:div w:id="601957009">
          <w:marLeft w:val="806"/>
          <w:marRight w:val="0"/>
          <w:marTop w:val="64"/>
          <w:marBottom w:val="0"/>
          <w:divBdr>
            <w:top w:val="none" w:sz="0" w:space="0" w:color="auto"/>
            <w:left w:val="none" w:sz="0" w:space="0" w:color="auto"/>
            <w:bottom w:val="none" w:sz="0" w:space="0" w:color="auto"/>
            <w:right w:val="none" w:sz="0" w:space="0" w:color="auto"/>
          </w:divBdr>
        </w:div>
        <w:div w:id="1699044582">
          <w:marLeft w:val="1526"/>
          <w:marRight w:val="0"/>
          <w:marTop w:val="64"/>
          <w:marBottom w:val="0"/>
          <w:divBdr>
            <w:top w:val="none" w:sz="0" w:space="0" w:color="auto"/>
            <w:left w:val="none" w:sz="0" w:space="0" w:color="auto"/>
            <w:bottom w:val="none" w:sz="0" w:space="0" w:color="auto"/>
            <w:right w:val="none" w:sz="0" w:space="0" w:color="auto"/>
          </w:divBdr>
        </w:div>
        <w:div w:id="670912591">
          <w:marLeft w:val="1526"/>
          <w:marRight w:val="0"/>
          <w:marTop w:val="64"/>
          <w:marBottom w:val="0"/>
          <w:divBdr>
            <w:top w:val="none" w:sz="0" w:space="0" w:color="auto"/>
            <w:left w:val="none" w:sz="0" w:space="0" w:color="auto"/>
            <w:bottom w:val="none" w:sz="0" w:space="0" w:color="auto"/>
            <w:right w:val="none" w:sz="0" w:space="0" w:color="auto"/>
          </w:divBdr>
        </w:div>
        <w:div w:id="420493730">
          <w:marLeft w:val="1526"/>
          <w:marRight w:val="0"/>
          <w:marTop w:val="64"/>
          <w:marBottom w:val="0"/>
          <w:divBdr>
            <w:top w:val="none" w:sz="0" w:space="0" w:color="auto"/>
            <w:left w:val="none" w:sz="0" w:space="0" w:color="auto"/>
            <w:bottom w:val="none" w:sz="0" w:space="0" w:color="auto"/>
            <w:right w:val="none" w:sz="0" w:space="0" w:color="auto"/>
          </w:divBdr>
        </w:div>
        <w:div w:id="1024136288">
          <w:marLeft w:val="1526"/>
          <w:marRight w:val="0"/>
          <w:marTop w:val="64"/>
          <w:marBottom w:val="0"/>
          <w:divBdr>
            <w:top w:val="none" w:sz="0" w:space="0" w:color="auto"/>
            <w:left w:val="none" w:sz="0" w:space="0" w:color="auto"/>
            <w:bottom w:val="none" w:sz="0" w:space="0" w:color="auto"/>
            <w:right w:val="none" w:sz="0" w:space="0" w:color="auto"/>
          </w:divBdr>
        </w:div>
      </w:divsChild>
    </w:div>
    <w:div w:id="834148815">
      <w:marLeft w:val="0"/>
      <w:marRight w:val="0"/>
      <w:marTop w:val="0"/>
      <w:marBottom w:val="0"/>
      <w:divBdr>
        <w:top w:val="none" w:sz="0" w:space="0" w:color="auto"/>
        <w:left w:val="none" w:sz="0" w:space="0" w:color="auto"/>
        <w:bottom w:val="none" w:sz="0" w:space="0" w:color="auto"/>
        <w:right w:val="none" w:sz="0" w:space="0" w:color="auto"/>
      </w:divBdr>
    </w:div>
    <w:div w:id="854268725">
      <w:marLeft w:val="0"/>
      <w:marRight w:val="0"/>
      <w:marTop w:val="0"/>
      <w:marBottom w:val="0"/>
      <w:divBdr>
        <w:top w:val="none" w:sz="0" w:space="0" w:color="auto"/>
        <w:left w:val="none" w:sz="0" w:space="0" w:color="auto"/>
        <w:bottom w:val="none" w:sz="0" w:space="0" w:color="auto"/>
        <w:right w:val="none" w:sz="0" w:space="0" w:color="auto"/>
      </w:divBdr>
    </w:div>
    <w:div w:id="906453261">
      <w:bodyDiv w:val="1"/>
      <w:marLeft w:val="0"/>
      <w:marRight w:val="0"/>
      <w:marTop w:val="0"/>
      <w:marBottom w:val="0"/>
      <w:divBdr>
        <w:top w:val="none" w:sz="0" w:space="0" w:color="auto"/>
        <w:left w:val="none" w:sz="0" w:space="0" w:color="auto"/>
        <w:bottom w:val="none" w:sz="0" w:space="0" w:color="auto"/>
        <w:right w:val="none" w:sz="0" w:space="0" w:color="auto"/>
      </w:divBdr>
      <w:divsChild>
        <w:div w:id="2021931049">
          <w:marLeft w:val="806"/>
          <w:marRight w:val="0"/>
          <w:marTop w:val="64"/>
          <w:marBottom w:val="0"/>
          <w:divBdr>
            <w:top w:val="none" w:sz="0" w:space="0" w:color="auto"/>
            <w:left w:val="none" w:sz="0" w:space="0" w:color="auto"/>
            <w:bottom w:val="none" w:sz="0" w:space="0" w:color="auto"/>
            <w:right w:val="none" w:sz="0" w:space="0" w:color="auto"/>
          </w:divBdr>
        </w:div>
        <w:div w:id="1324315990">
          <w:marLeft w:val="1526"/>
          <w:marRight w:val="0"/>
          <w:marTop w:val="64"/>
          <w:marBottom w:val="0"/>
          <w:divBdr>
            <w:top w:val="none" w:sz="0" w:space="0" w:color="auto"/>
            <w:left w:val="none" w:sz="0" w:space="0" w:color="auto"/>
            <w:bottom w:val="none" w:sz="0" w:space="0" w:color="auto"/>
            <w:right w:val="none" w:sz="0" w:space="0" w:color="auto"/>
          </w:divBdr>
        </w:div>
        <w:div w:id="362754640">
          <w:marLeft w:val="1526"/>
          <w:marRight w:val="0"/>
          <w:marTop w:val="64"/>
          <w:marBottom w:val="0"/>
          <w:divBdr>
            <w:top w:val="none" w:sz="0" w:space="0" w:color="auto"/>
            <w:left w:val="none" w:sz="0" w:space="0" w:color="auto"/>
            <w:bottom w:val="none" w:sz="0" w:space="0" w:color="auto"/>
            <w:right w:val="none" w:sz="0" w:space="0" w:color="auto"/>
          </w:divBdr>
        </w:div>
        <w:div w:id="1955210407">
          <w:marLeft w:val="1526"/>
          <w:marRight w:val="0"/>
          <w:marTop w:val="64"/>
          <w:marBottom w:val="0"/>
          <w:divBdr>
            <w:top w:val="none" w:sz="0" w:space="0" w:color="auto"/>
            <w:left w:val="none" w:sz="0" w:space="0" w:color="auto"/>
            <w:bottom w:val="none" w:sz="0" w:space="0" w:color="auto"/>
            <w:right w:val="none" w:sz="0" w:space="0" w:color="auto"/>
          </w:divBdr>
        </w:div>
      </w:divsChild>
    </w:div>
    <w:div w:id="910232612">
      <w:marLeft w:val="0"/>
      <w:marRight w:val="0"/>
      <w:marTop w:val="0"/>
      <w:marBottom w:val="0"/>
      <w:divBdr>
        <w:top w:val="none" w:sz="0" w:space="0" w:color="auto"/>
        <w:left w:val="none" w:sz="0" w:space="0" w:color="auto"/>
        <w:bottom w:val="none" w:sz="0" w:space="0" w:color="auto"/>
        <w:right w:val="none" w:sz="0" w:space="0" w:color="auto"/>
      </w:divBdr>
    </w:div>
    <w:div w:id="994265125">
      <w:bodyDiv w:val="1"/>
      <w:marLeft w:val="0"/>
      <w:marRight w:val="0"/>
      <w:marTop w:val="0"/>
      <w:marBottom w:val="0"/>
      <w:divBdr>
        <w:top w:val="none" w:sz="0" w:space="0" w:color="auto"/>
        <w:left w:val="none" w:sz="0" w:space="0" w:color="auto"/>
        <w:bottom w:val="none" w:sz="0" w:space="0" w:color="auto"/>
        <w:right w:val="none" w:sz="0" w:space="0" w:color="auto"/>
      </w:divBdr>
      <w:divsChild>
        <w:div w:id="850484348">
          <w:marLeft w:val="806"/>
          <w:marRight w:val="0"/>
          <w:marTop w:val="64"/>
          <w:marBottom w:val="0"/>
          <w:divBdr>
            <w:top w:val="none" w:sz="0" w:space="0" w:color="auto"/>
            <w:left w:val="none" w:sz="0" w:space="0" w:color="auto"/>
            <w:bottom w:val="none" w:sz="0" w:space="0" w:color="auto"/>
            <w:right w:val="none" w:sz="0" w:space="0" w:color="auto"/>
          </w:divBdr>
        </w:div>
        <w:div w:id="1183284440">
          <w:marLeft w:val="1526"/>
          <w:marRight w:val="0"/>
          <w:marTop w:val="64"/>
          <w:marBottom w:val="0"/>
          <w:divBdr>
            <w:top w:val="none" w:sz="0" w:space="0" w:color="auto"/>
            <w:left w:val="none" w:sz="0" w:space="0" w:color="auto"/>
            <w:bottom w:val="none" w:sz="0" w:space="0" w:color="auto"/>
            <w:right w:val="none" w:sz="0" w:space="0" w:color="auto"/>
          </w:divBdr>
        </w:div>
        <w:div w:id="564147908">
          <w:marLeft w:val="1526"/>
          <w:marRight w:val="0"/>
          <w:marTop w:val="64"/>
          <w:marBottom w:val="0"/>
          <w:divBdr>
            <w:top w:val="none" w:sz="0" w:space="0" w:color="auto"/>
            <w:left w:val="none" w:sz="0" w:space="0" w:color="auto"/>
            <w:bottom w:val="none" w:sz="0" w:space="0" w:color="auto"/>
            <w:right w:val="none" w:sz="0" w:space="0" w:color="auto"/>
          </w:divBdr>
        </w:div>
        <w:div w:id="833184320">
          <w:marLeft w:val="1526"/>
          <w:marRight w:val="0"/>
          <w:marTop w:val="64"/>
          <w:marBottom w:val="0"/>
          <w:divBdr>
            <w:top w:val="none" w:sz="0" w:space="0" w:color="auto"/>
            <w:left w:val="none" w:sz="0" w:space="0" w:color="auto"/>
            <w:bottom w:val="none" w:sz="0" w:space="0" w:color="auto"/>
            <w:right w:val="none" w:sz="0" w:space="0" w:color="auto"/>
          </w:divBdr>
        </w:div>
        <w:div w:id="1680692214">
          <w:marLeft w:val="806"/>
          <w:marRight w:val="0"/>
          <w:marTop w:val="64"/>
          <w:marBottom w:val="0"/>
          <w:divBdr>
            <w:top w:val="none" w:sz="0" w:space="0" w:color="auto"/>
            <w:left w:val="none" w:sz="0" w:space="0" w:color="auto"/>
            <w:bottom w:val="none" w:sz="0" w:space="0" w:color="auto"/>
            <w:right w:val="none" w:sz="0" w:space="0" w:color="auto"/>
          </w:divBdr>
        </w:div>
        <w:div w:id="1240674956">
          <w:marLeft w:val="806"/>
          <w:marRight w:val="0"/>
          <w:marTop w:val="64"/>
          <w:marBottom w:val="0"/>
          <w:divBdr>
            <w:top w:val="none" w:sz="0" w:space="0" w:color="auto"/>
            <w:left w:val="none" w:sz="0" w:space="0" w:color="auto"/>
            <w:bottom w:val="none" w:sz="0" w:space="0" w:color="auto"/>
            <w:right w:val="none" w:sz="0" w:space="0" w:color="auto"/>
          </w:divBdr>
        </w:div>
      </w:divsChild>
    </w:div>
    <w:div w:id="1169979510">
      <w:marLeft w:val="0"/>
      <w:marRight w:val="0"/>
      <w:marTop w:val="0"/>
      <w:marBottom w:val="0"/>
      <w:divBdr>
        <w:top w:val="none" w:sz="0" w:space="0" w:color="auto"/>
        <w:left w:val="none" w:sz="0" w:space="0" w:color="auto"/>
        <w:bottom w:val="none" w:sz="0" w:space="0" w:color="auto"/>
        <w:right w:val="none" w:sz="0" w:space="0" w:color="auto"/>
      </w:divBdr>
    </w:div>
    <w:div w:id="1238058284">
      <w:bodyDiv w:val="1"/>
      <w:marLeft w:val="0"/>
      <w:marRight w:val="0"/>
      <w:marTop w:val="0"/>
      <w:marBottom w:val="0"/>
      <w:divBdr>
        <w:top w:val="none" w:sz="0" w:space="0" w:color="auto"/>
        <w:left w:val="none" w:sz="0" w:space="0" w:color="auto"/>
        <w:bottom w:val="none" w:sz="0" w:space="0" w:color="auto"/>
        <w:right w:val="none" w:sz="0" w:space="0" w:color="auto"/>
      </w:divBdr>
      <w:divsChild>
        <w:div w:id="1281106883">
          <w:marLeft w:val="806"/>
          <w:marRight w:val="0"/>
          <w:marTop w:val="64"/>
          <w:marBottom w:val="0"/>
          <w:divBdr>
            <w:top w:val="none" w:sz="0" w:space="0" w:color="auto"/>
            <w:left w:val="none" w:sz="0" w:space="0" w:color="auto"/>
            <w:bottom w:val="none" w:sz="0" w:space="0" w:color="auto"/>
            <w:right w:val="none" w:sz="0" w:space="0" w:color="auto"/>
          </w:divBdr>
        </w:div>
        <w:div w:id="291717576">
          <w:marLeft w:val="1526"/>
          <w:marRight w:val="0"/>
          <w:marTop w:val="64"/>
          <w:marBottom w:val="0"/>
          <w:divBdr>
            <w:top w:val="none" w:sz="0" w:space="0" w:color="auto"/>
            <w:left w:val="none" w:sz="0" w:space="0" w:color="auto"/>
            <w:bottom w:val="none" w:sz="0" w:space="0" w:color="auto"/>
            <w:right w:val="none" w:sz="0" w:space="0" w:color="auto"/>
          </w:divBdr>
        </w:div>
        <w:div w:id="569004064">
          <w:marLeft w:val="1526"/>
          <w:marRight w:val="0"/>
          <w:marTop w:val="64"/>
          <w:marBottom w:val="0"/>
          <w:divBdr>
            <w:top w:val="none" w:sz="0" w:space="0" w:color="auto"/>
            <w:left w:val="none" w:sz="0" w:space="0" w:color="auto"/>
            <w:bottom w:val="none" w:sz="0" w:space="0" w:color="auto"/>
            <w:right w:val="none" w:sz="0" w:space="0" w:color="auto"/>
          </w:divBdr>
        </w:div>
        <w:div w:id="2096509548">
          <w:marLeft w:val="1526"/>
          <w:marRight w:val="0"/>
          <w:marTop w:val="64"/>
          <w:marBottom w:val="0"/>
          <w:divBdr>
            <w:top w:val="none" w:sz="0" w:space="0" w:color="auto"/>
            <w:left w:val="none" w:sz="0" w:space="0" w:color="auto"/>
            <w:bottom w:val="none" w:sz="0" w:space="0" w:color="auto"/>
            <w:right w:val="none" w:sz="0" w:space="0" w:color="auto"/>
          </w:divBdr>
        </w:div>
        <w:div w:id="76942749">
          <w:marLeft w:val="806"/>
          <w:marRight w:val="0"/>
          <w:marTop w:val="64"/>
          <w:marBottom w:val="0"/>
          <w:divBdr>
            <w:top w:val="none" w:sz="0" w:space="0" w:color="auto"/>
            <w:left w:val="none" w:sz="0" w:space="0" w:color="auto"/>
            <w:bottom w:val="none" w:sz="0" w:space="0" w:color="auto"/>
            <w:right w:val="none" w:sz="0" w:space="0" w:color="auto"/>
          </w:divBdr>
        </w:div>
        <w:div w:id="784888196">
          <w:marLeft w:val="1526"/>
          <w:marRight w:val="0"/>
          <w:marTop w:val="64"/>
          <w:marBottom w:val="0"/>
          <w:divBdr>
            <w:top w:val="none" w:sz="0" w:space="0" w:color="auto"/>
            <w:left w:val="none" w:sz="0" w:space="0" w:color="auto"/>
            <w:bottom w:val="none" w:sz="0" w:space="0" w:color="auto"/>
            <w:right w:val="none" w:sz="0" w:space="0" w:color="auto"/>
          </w:divBdr>
        </w:div>
        <w:div w:id="39016182">
          <w:marLeft w:val="1526"/>
          <w:marRight w:val="0"/>
          <w:marTop w:val="64"/>
          <w:marBottom w:val="0"/>
          <w:divBdr>
            <w:top w:val="none" w:sz="0" w:space="0" w:color="auto"/>
            <w:left w:val="none" w:sz="0" w:space="0" w:color="auto"/>
            <w:bottom w:val="none" w:sz="0" w:space="0" w:color="auto"/>
            <w:right w:val="none" w:sz="0" w:space="0" w:color="auto"/>
          </w:divBdr>
        </w:div>
        <w:div w:id="1779596322">
          <w:marLeft w:val="1526"/>
          <w:marRight w:val="0"/>
          <w:marTop w:val="64"/>
          <w:marBottom w:val="0"/>
          <w:divBdr>
            <w:top w:val="none" w:sz="0" w:space="0" w:color="auto"/>
            <w:left w:val="none" w:sz="0" w:space="0" w:color="auto"/>
            <w:bottom w:val="none" w:sz="0" w:space="0" w:color="auto"/>
            <w:right w:val="none" w:sz="0" w:space="0" w:color="auto"/>
          </w:divBdr>
        </w:div>
      </w:divsChild>
    </w:div>
    <w:div w:id="1260717698">
      <w:bodyDiv w:val="1"/>
      <w:marLeft w:val="0"/>
      <w:marRight w:val="0"/>
      <w:marTop w:val="0"/>
      <w:marBottom w:val="0"/>
      <w:divBdr>
        <w:top w:val="none" w:sz="0" w:space="0" w:color="auto"/>
        <w:left w:val="none" w:sz="0" w:space="0" w:color="auto"/>
        <w:bottom w:val="none" w:sz="0" w:space="0" w:color="auto"/>
        <w:right w:val="none" w:sz="0" w:space="0" w:color="auto"/>
      </w:divBdr>
      <w:divsChild>
        <w:div w:id="1228109850">
          <w:marLeft w:val="806"/>
          <w:marRight w:val="0"/>
          <w:marTop w:val="64"/>
          <w:marBottom w:val="0"/>
          <w:divBdr>
            <w:top w:val="none" w:sz="0" w:space="0" w:color="auto"/>
            <w:left w:val="none" w:sz="0" w:space="0" w:color="auto"/>
            <w:bottom w:val="none" w:sz="0" w:space="0" w:color="auto"/>
            <w:right w:val="none" w:sz="0" w:space="0" w:color="auto"/>
          </w:divBdr>
        </w:div>
        <w:div w:id="960110318">
          <w:marLeft w:val="1526"/>
          <w:marRight w:val="0"/>
          <w:marTop w:val="64"/>
          <w:marBottom w:val="0"/>
          <w:divBdr>
            <w:top w:val="none" w:sz="0" w:space="0" w:color="auto"/>
            <w:left w:val="none" w:sz="0" w:space="0" w:color="auto"/>
            <w:bottom w:val="none" w:sz="0" w:space="0" w:color="auto"/>
            <w:right w:val="none" w:sz="0" w:space="0" w:color="auto"/>
          </w:divBdr>
        </w:div>
        <w:div w:id="406804885">
          <w:marLeft w:val="2246"/>
          <w:marRight w:val="0"/>
          <w:marTop w:val="64"/>
          <w:marBottom w:val="0"/>
          <w:divBdr>
            <w:top w:val="none" w:sz="0" w:space="0" w:color="auto"/>
            <w:left w:val="none" w:sz="0" w:space="0" w:color="auto"/>
            <w:bottom w:val="none" w:sz="0" w:space="0" w:color="auto"/>
            <w:right w:val="none" w:sz="0" w:space="0" w:color="auto"/>
          </w:divBdr>
        </w:div>
        <w:div w:id="1438401680">
          <w:marLeft w:val="2246"/>
          <w:marRight w:val="0"/>
          <w:marTop w:val="64"/>
          <w:marBottom w:val="0"/>
          <w:divBdr>
            <w:top w:val="none" w:sz="0" w:space="0" w:color="auto"/>
            <w:left w:val="none" w:sz="0" w:space="0" w:color="auto"/>
            <w:bottom w:val="none" w:sz="0" w:space="0" w:color="auto"/>
            <w:right w:val="none" w:sz="0" w:space="0" w:color="auto"/>
          </w:divBdr>
        </w:div>
        <w:div w:id="464006832">
          <w:marLeft w:val="1526"/>
          <w:marRight w:val="0"/>
          <w:marTop w:val="64"/>
          <w:marBottom w:val="0"/>
          <w:divBdr>
            <w:top w:val="none" w:sz="0" w:space="0" w:color="auto"/>
            <w:left w:val="none" w:sz="0" w:space="0" w:color="auto"/>
            <w:bottom w:val="none" w:sz="0" w:space="0" w:color="auto"/>
            <w:right w:val="none" w:sz="0" w:space="0" w:color="auto"/>
          </w:divBdr>
        </w:div>
        <w:div w:id="1605763435">
          <w:marLeft w:val="2246"/>
          <w:marRight w:val="0"/>
          <w:marTop w:val="64"/>
          <w:marBottom w:val="0"/>
          <w:divBdr>
            <w:top w:val="none" w:sz="0" w:space="0" w:color="auto"/>
            <w:left w:val="none" w:sz="0" w:space="0" w:color="auto"/>
            <w:bottom w:val="none" w:sz="0" w:space="0" w:color="auto"/>
            <w:right w:val="none" w:sz="0" w:space="0" w:color="auto"/>
          </w:divBdr>
        </w:div>
        <w:div w:id="1578900444">
          <w:marLeft w:val="2246"/>
          <w:marRight w:val="0"/>
          <w:marTop w:val="64"/>
          <w:marBottom w:val="0"/>
          <w:divBdr>
            <w:top w:val="none" w:sz="0" w:space="0" w:color="auto"/>
            <w:left w:val="none" w:sz="0" w:space="0" w:color="auto"/>
            <w:bottom w:val="none" w:sz="0" w:space="0" w:color="auto"/>
            <w:right w:val="none" w:sz="0" w:space="0" w:color="auto"/>
          </w:divBdr>
        </w:div>
      </w:divsChild>
    </w:div>
    <w:div w:id="1382557174">
      <w:bodyDiv w:val="1"/>
      <w:marLeft w:val="0"/>
      <w:marRight w:val="0"/>
      <w:marTop w:val="0"/>
      <w:marBottom w:val="0"/>
      <w:divBdr>
        <w:top w:val="none" w:sz="0" w:space="0" w:color="auto"/>
        <w:left w:val="none" w:sz="0" w:space="0" w:color="auto"/>
        <w:bottom w:val="none" w:sz="0" w:space="0" w:color="auto"/>
        <w:right w:val="none" w:sz="0" w:space="0" w:color="auto"/>
      </w:divBdr>
    </w:div>
    <w:div w:id="1557230958">
      <w:bodyDiv w:val="1"/>
      <w:marLeft w:val="0"/>
      <w:marRight w:val="0"/>
      <w:marTop w:val="0"/>
      <w:marBottom w:val="0"/>
      <w:divBdr>
        <w:top w:val="none" w:sz="0" w:space="0" w:color="auto"/>
        <w:left w:val="none" w:sz="0" w:space="0" w:color="auto"/>
        <w:bottom w:val="none" w:sz="0" w:space="0" w:color="auto"/>
        <w:right w:val="none" w:sz="0" w:space="0" w:color="auto"/>
      </w:divBdr>
    </w:div>
    <w:div w:id="1568028073">
      <w:marLeft w:val="0"/>
      <w:marRight w:val="0"/>
      <w:marTop w:val="0"/>
      <w:marBottom w:val="0"/>
      <w:divBdr>
        <w:top w:val="none" w:sz="0" w:space="0" w:color="auto"/>
        <w:left w:val="none" w:sz="0" w:space="0" w:color="auto"/>
        <w:bottom w:val="none" w:sz="0" w:space="0" w:color="auto"/>
        <w:right w:val="none" w:sz="0" w:space="0" w:color="auto"/>
      </w:divBdr>
    </w:div>
    <w:div w:id="1573851642">
      <w:marLeft w:val="0"/>
      <w:marRight w:val="0"/>
      <w:marTop w:val="0"/>
      <w:marBottom w:val="0"/>
      <w:divBdr>
        <w:top w:val="none" w:sz="0" w:space="0" w:color="auto"/>
        <w:left w:val="none" w:sz="0" w:space="0" w:color="auto"/>
        <w:bottom w:val="none" w:sz="0" w:space="0" w:color="auto"/>
        <w:right w:val="none" w:sz="0" w:space="0" w:color="auto"/>
      </w:divBdr>
    </w:div>
    <w:div w:id="1737391407">
      <w:marLeft w:val="0"/>
      <w:marRight w:val="0"/>
      <w:marTop w:val="0"/>
      <w:marBottom w:val="0"/>
      <w:divBdr>
        <w:top w:val="none" w:sz="0" w:space="0" w:color="auto"/>
        <w:left w:val="none" w:sz="0" w:space="0" w:color="auto"/>
        <w:bottom w:val="none" w:sz="0" w:space="0" w:color="auto"/>
        <w:right w:val="none" w:sz="0" w:space="0" w:color="auto"/>
      </w:divBdr>
    </w:div>
    <w:div w:id="1794782943">
      <w:bodyDiv w:val="1"/>
      <w:marLeft w:val="0"/>
      <w:marRight w:val="0"/>
      <w:marTop w:val="0"/>
      <w:marBottom w:val="0"/>
      <w:divBdr>
        <w:top w:val="none" w:sz="0" w:space="0" w:color="auto"/>
        <w:left w:val="none" w:sz="0" w:space="0" w:color="auto"/>
        <w:bottom w:val="none" w:sz="0" w:space="0" w:color="auto"/>
        <w:right w:val="none" w:sz="0" w:space="0" w:color="auto"/>
      </w:divBdr>
      <w:divsChild>
        <w:div w:id="2117408603">
          <w:marLeft w:val="806"/>
          <w:marRight w:val="0"/>
          <w:marTop w:val="64"/>
          <w:marBottom w:val="0"/>
          <w:divBdr>
            <w:top w:val="none" w:sz="0" w:space="0" w:color="auto"/>
            <w:left w:val="none" w:sz="0" w:space="0" w:color="auto"/>
            <w:bottom w:val="none" w:sz="0" w:space="0" w:color="auto"/>
            <w:right w:val="none" w:sz="0" w:space="0" w:color="auto"/>
          </w:divBdr>
        </w:div>
        <w:div w:id="126317193">
          <w:marLeft w:val="1526"/>
          <w:marRight w:val="0"/>
          <w:marTop w:val="64"/>
          <w:marBottom w:val="0"/>
          <w:divBdr>
            <w:top w:val="none" w:sz="0" w:space="0" w:color="auto"/>
            <w:left w:val="none" w:sz="0" w:space="0" w:color="auto"/>
            <w:bottom w:val="none" w:sz="0" w:space="0" w:color="auto"/>
            <w:right w:val="none" w:sz="0" w:space="0" w:color="auto"/>
          </w:divBdr>
        </w:div>
        <w:div w:id="1923756794">
          <w:marLeft w:val="1526"/>
          <w:marRight w:val="0"/>
          <w:marTop w:val="64"/>
          <w:marBottom w:val="0"/>
          <w:divBdr>
            <w:top w:val="none" w:sz="0" w:space="0" w:color="auto"/>
            <w:left w:val="none" w:sz="0" w:space="0" w:color="auto"/>
            <w:bottom w:val="none" w:sz="0" w:space="0" w:color="auto"/>
            <w:right w:val="none" w:sz="0" w:space="0" w:color="auto"/>
          </w:divBdr>
        </w:div>
        <w:div w:id="1908342890">
          <w:marLeft w:val="1526"/>
          <w:marRight w:val="0"/>
          <w:marTop w:val="64"/>
          <w:marBottom w:val="0"/>
          <w:divBdr>
            <w:top w:val="none" w:sz="0" w:space="0" w:color="auto"/>
            <w:left w:val="none" w:sz="0" w:space="0" w:color="auto"/>
            <w:bottom w:val="none" w:sz="0" w:space="0" w:color="auto"/>
            <w:right w:val="none" w:sz="0" w:space="0" w:color="auto"/>
          </w:divBdr>
        </w:div>
        <w:div w:id="321470067">
          <w:marLeft w:val="1526"/>
          <w:marRight w:val="0"/>
          <w:marTop w:val="64"/>
          <w:marBottom w:val="0"/>
          <w:divBdr>
            <w:top w:val="none" w:sz="0" w:space="0" w:color="auto"/>
            <w:left w:val="none" w:sz="0" w:space="0" w:color="auto"/>
            <w:bottom w:val="none" w:sz="0" w:space="0" w:color="auto"/>
            <w:right w:val="none" w:sz="0" w:space="0" w:color="auto"/>
          </w:divBdr>
        </w:div>
      </w:divsChild>
    </w:div>
    <w:div w:id="1831630437">
      <w:marLeft w:val="0"/>
      <w:marRight w:val="0"/>
      <w:marTop w:val="0"/>
      <w:marBottom w:val="0"/>
      <w:divBdr>
        <w:top w:val="none" w:sz="0" w:space="0" w:color="auto"/>
        <w:left w:val="none" w:sz="0" w:space="0" w:color="auto"/>
        <w:bottom w:val="none" w:sz="0" w:space="0" w:color="auto"/>
        <w:right w:val="none" w:sz="0" w:space="0" w:color="auto"/>
      </w:divBdr>
    </w:div>
    <w:div w:id="2109233086">
      <w:marLeft w:val="0"/>
      <w:marRight w:val="0"/>
      <w:marTop w:val="0"/>
      <w:marBottom w:val="0"/>
      <w:divBdr>
        <w:top w:val="none" w:sz="0" w:space="0" w:color="auto"/>
        <w:left w:val="none" w:sz="0" w:space="0" w:color="auto"/>
        <w:bottom w:val="none" w:sz="0" w:space="0" w:color="auto"/>
        <w:right w:val="none" w:sz="0" w:space="0" w:color="auto"/>
      </w:divBdr>
    </w:div>
    <w:div w:id="212881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a:lstStyle/>
          <a:p>
            <a:pPr>
              <a:defRPr/>
            </a:pPr>
            <a:r>
              <a:rPr lang="en-US"/>
              <a:t>MRO</a:t>
            </a:r>
            <a:r>
              <a:rPr lang="en-US" baseline="0"/>
              <a:t> Performance</a:t>
            </a:r>
            <a:endParaRPr lang="en-US"/>
          </a:p>
        </c:rich>
      </c:tx>
    </c:title>
    <c:plotArea>
      <c:layout>
        <c:manualLayout>
          <c:layoutTarget val="inner"/>
          <c:xMode val="edge"/>
          <c:yMode val="edge"/>
          <c:x val="0.18606804132152469"/>
          <c:y val="0.19480351414406535"/>
          <c:w val="0.57851753799405903"/>
          <c:h val="0.75379593175853066"/>
        </c:manualLayout>
      </c:layout>
      <c:lineChart>
        <c:grouping val="standard"/>
        <c:ser>
          <c:idx val="0"/>
          <c:order val="0"/>
          <c:tx>
            <c:strRef>
              <c:f>Sheet3!$B$6</c:f>
              <c:strCache>
                <c:ptCount val="1"/>
                <c:pt idx="0">
                  <c:v>Total Revenue</c:v>
                </c:pt>
              </c:strCache>
            </c:strRef>
          </c:tx>
          <c:marker>
            <c:symbol val="none"/>
          </c:marker>
          <c:cat>
            <c:numRef>
              <c:f>Sheet3!$C$5:$F$5</c:f>
              <c:numCache>
                <c:formatCode>General</c:formatCode>
                <c:ptCount val="4"/>
                <c:pt idx="0">
                  <c:v>2020</c:v>
                </c:pt>
                <c:pt idx="1">
                  <c:v>2019</c:v>
                </c:pt>
                <c:pt idx="2">
                  <c:v>2018</c:v>
                </c:pt>
                <c:pt idx="3">
                  <c:v>2017</c:v>
                </c:pt>
              </c:numCache>
            </c:numRef>
          </c:cat>
          <c:val>
            <c:numRef>
              <c:f>Sheet3!$C$6:$F$6</c:f>
              <c:numCache>
                <c:formatCode>#,##0</c:formatCode>
                <c:ptCount val="4"/>
                <c:pt idx="0">
                  <c:v>3097000</c:v>
                </c:pt>
                <c:pt idx="1">
                  <c:v>5063000</c:v>
                </c:pt>
                <c:pt idx="2">
                  <c:v>5902000</c:v>
                </c:pt>
                <c:pt idx="3">
                  <c:v>4373000</c:v>
                </c:pt>
              </c:numCache>
            </c:numRef>
          </c:val>
        </c:ser>
        <c:ser>
          <c:idx val="1"/>
          <c:order val="1"/>
          <c:tx>
            <c:strRef>
              <c:f>Sheet3!$B$7</c:f>
              <c:strCache>
                <c:ptCount val="1"/>
                <c:pt idx="0">
                  <c:v>Gross Profit</c:v>
                </c:pt>
              </c:strCache>
            </c:strRef>
          </c:tx>
          <c:marker>
            <c:symbol val="none"/>
          </c:marker>
          <c:cat>
            <c:numRef>
              <c:f>Sheet3!$C$5:$F$5</c:f>
              <c:numCache>
                <c:formatCode>General</c:formatCode>
                <c:ptCount val="4"/>
                <c:pt idx="0">
                  <c:v>2020</c:v>
                </c:pt>
                <c:pt idx="1">
                  <c:v>2019</c:v>
                </c:pt>
                <c:pt idx="2">
                  <c:v>2018</c:v>
                </c:pt>
                <c:pt idx="3">
                  <c:v>2017</c:v>
                </c:pt>
              </c:numCache>
            </c:numRef>
          </c:cat>
          <c:val>
            <c:numRef>
              <c:f>Sheet3!$C$7:$F$7</c:f>
              <c:numCache>
                <c:formatCode>#,##0</c:formatCode>
                <c:ptCount val="4"/>
                <c:pt idx="0">
                  <c:v>-370000</c:v>
                </c:pt>
                <c:pt idx="1">
                  <c:v>1349000</c:v>
                </c:pt>
                <c:pt idx="2">
                  <c:v>2044000</c:v>
                </c:pt>
                <c:pt idx="3">
                  <c:v>696000</c:v>
                </c:pt>
              </c:numCache>
            </c:numRef>
          </c:val>
        </c:ser>
        <c:ser>
          <c:idx val="2"/>
          <c:order val="2"/>
          <c:tx>
            <c:strRef>
              <c:f>Sheet3!$B$8</c:f>
              <c:strCache>
                <c:ptCount val="1"/>
                <c:pt idx="0">
                  <c:v>Pretax Income</c:v>
                </c:pt>
              </c:strCache>
            </c:strRef>
          </c:tx>
          <c:marker>
            <c:symbol val="none"/>
          </c:marker>
          <c:cat>
            <c:numRef>
              <c:f>Sheet3!$C$5:$F$5</c:f>
              <c:numCache>
                <c:formatCode>General</c:formatCode>
                <c:ptCount val="4"/>
                <c:pt idx="0">
                  <c:v>2020</c:v>
                </c:pt>
                <c:pt idx="1">
                  <c:v>2019</c:v>
                </c:pt>
                <c:pt idx="2">
                  <c:v>2018</c:v>
                </c:pt>
                <c:pt idx="3">
                  <c:v>2017</c:v>
                </c:pt>
              </c:numCache>
            </c:numRef>
          </c:cat>
          <c:val>
            <c:numRef>
              <c:f>Sheet3!$C$8:$F$8</c:f>
              <c:numCache>
                <c:formatCode>#,##0</c:formatCode>
                <c:ptCount val="4"/>
                <c:pt idx="0">
                  <c:v>-1465000</c:v>
                </c:pt>
                <c:pt idx="1">
                  <c:v>392000</c:v>
                </c:pt>
                <c:pt idx="2">
                  <c:v>1427000</c:v>
                </c:pt>
                <c:pt idx="3">
                  <c:v>-454000</c:v>
                </c:pt>
              </c:numCache>
            </c:numRef>
          </c:val>
        </c:ser>
        <c:ser>
          <c:idx val="3"/>
          <c:order val="3"/>
          <c:tx>
            <c:strRef>
              <c:f>Sheet3!$B$9</c:f>
              <c:strCache>
                <c:ptCount val="1"/>
                <c:pt idx="0">
                  <c:v>Net Income from Continuing &amp; Discontinued Operation</c:v>
                </c:pt>
              </c:strCache>
            </c:strRef>
          </c:tx>
          <c:marker>
            <c:symbol val="none"/>
          </c:marker>
          <c:cat>
            <c:numRef>
              <c:f>Sheet3!$C$5:$F$5</c:f>
              <c:numCache>
                <c:formatCode>General</c:formatCode>
                <c:ptCount val="4"/>
                <c:pt idx="0">
                  <c:v>2020</c:v>
                </c:pt>
                <c:pt idx="1">
                  <c:v>2019</c:v>
                </c:pt>
                <c:pt idx="2">
                  <c:v>2018</c:v>
                </c:pt>
                <c:pt idx="3">
                  <c:v>2017</c:v>
                </c:pt>
              </c:numCache>
            </c:numRef>
          </c:cat>
          <c:val>
            <c:numRef>
              <c:f>Sheet3!$C$9:$F$9</c:f>
              <c:numCache>
                <c:formatCode>#,##0</c:formatCode>
                <c:ptCount val="4"/>
                <c:pt idx="0">
                  <c:v>-1451000</c:v>
                </c:pt>
                <c:pt idx="1">
                  <c:v>480000</c:v>
                </c:pt>
                <c:pt idx="2">
                  <c:v>1096000</c:v>
                </c:pt>
                <c:pt idx="3">
                  <c:v>-5723000</c:v>
                </c:pt>
              </c:numCache>
            </c:numRef>
          </c:val>
        </c:ser>
        <c:marker val="1"/>
        <c:axId val="440307712"/>
        <c:axId val="440309248"/>
      </c:lineChart>
      <c:catAx>
        <c:axId val="440307712"/>
        <c:scaling>
          <c:orientation val="minMax"/>
        </c:scaling>
        <c:axPos val="b"/>
        <c:numFmt formatCode="General" sourceLinked="1"/>
        <c:majorTickMark val="none"/>
        <c:tickLblPos val="nextTo"/>
        <c:crossAx val="440309248"/>
        <c:crosses val="autoZero"/>
        <c:auto val="1"/>
        <c:lblAlgn val="ctr"/>
        <c:lblOffset val="100"/>
      </c:catAx>
      <c:valAx>
        <c:axId val="440309248"/>
        <c:scaling>
          <c:orientation val="minMax"/>
        </c:scaling>
        <c:axPos val="l"/>
        <c:majorGridlines/>
        <c:title>
          <c:tx>
            <c:rich>
              <a:bodyPr/>
              <a:lstStyle/>
              <a:p>
                <a:pPr>
                  <a:defRPr/>
                </a:pPr>
                <a:r>
                  <a:rPr lang="en-US"/>
                  <a:t>in thousands</a:t>
                </a:r>
                <a:r>
                  <a:rPr lang="en-US" baseline="0"/>
                  <a:t>  </a:t>
                </a:r>
                <a:endParaRPr lang="en-US"/>
              </a:p>
            </c:rich>
          </c:tx>
        </c:title>
        <c:numFmt formatCode="#,##0" sourceLinked="1"/>
        <c:majorTickMark val="none"/>
        <c:tickLblPos val="nextTo"/>
        <c:crossAx val="440307712"/>
        <c:crosses val="autoZero"/>
        <c:crossBetween val="between"/>
      </c:valAx>
    </c:plotArea>
    <c:legend>
      <c:legendPos val="r"/>
      <c:layout>
        <c:manualLayout>
          <c:xMode val="edge"/>
          <c:yMode val="edge"/>
          <c:x val="0.79857385244522072"/>
          <c:y val="0.19439814814814821"/>
          <c:w val="0.18475943539986456"/>
          <c:h val="0.75460629921259881"/>
        </c:manualLayout>
      </c:layout>
    </c:legend>
    <c:plotVisOnly val="1"/>
    <c:dispBlanksAs val="gap"/>
  </c:chart>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TotalTime>
  <Pages>13</Pages>
  <Words>2594</Words>
  <Characters>14790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Shee</cp:lastModifiedBy>
  <cp:revision>2</cp:revision>
  <dcterms:created xsi:type="dcterms:W3CDTF">2021-11-08T12:18:00Z</dcterms:created>
  <dcterms:modified xsi:type="dcterms:W3CDTF">2021-11-08T12:18:00Z</dcterms:modified>
</cp:coreProperties>
</file>